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B2A6" w14:textId="77777777" w:rsidR="00634DB9" w:rsidRPr="00DD03C5" w:rsidRDefault="00634DB9" w:rsidP="00621EA2">
      <w:pPr>
        <w:pStyle w:val="ad"/>
        <w:spacing w:line="246" w:lineRule="auto"/>
        <w:ind w:firstLine="480"/>
        <w:rPr>
          <w:rFonts w:ascii="Times New Roman" w:hAnsi="Times New Roman" w:cs="Times New Roman"/>
        </w:rPr>
      </w:pPr>
    </w:p>
    <w:p w14:paraId="3F5E88EF" w14:textId="77777777" w:rsidR="00634DB9" w:rsidRPr="00DD03C5" w:rsidRDefault="00634DB9" w:rsidP="00621EA2">
      <w:pPr>
        <w:pStyle w:val="ad"/>
        <w:spacing w:line="246" w:lineRule="auto"/>
        <w:ind w:firstLine="480"/>
        <w:rPr>
          <w:rFonts w:ascii="Times New Roman" w:hAnsi="Times New Roman" w:cs="Times New Roman"/>
        </w:rPr>
      </w:pPr>
    </w:p>
    <w:p w14:paraId="28B811C4" w14:textId="77777777" w:rsidR="00634DB9" w:rsidRPr="00DD03C5" w:rsidRDefault="00634DB9" w:rsidP="00621EA2">
      <w:pPr>
        <w:pStyle w:val="ad"/>
        <w:spacing w:line="246" w:lineRule="auto"/>
        <w:ind w:firstLine="480"/>
        <w:rPr>
          <w:rFonts w:ascii="Times New Roman" w:hAnsi="Times New Roman" w:cs="Times New Roman"/>
        </w:rPr>
      </w:pPr>
    </w:p>
    <w:p w14:paraId="388E56FB" w14:textId="77777777" w:rsidR="00634DB9" w:rsidRPr="00DD03C5" w:rsidRDefault="00634DB9" w:rsidP="00621EA2">
      <w:pPr>
        <w:pStyle w:val="ad"/>
        <w:spacing w:line="246" w:lineRule="auto"/>
        <w:ind w:firstLine="480"/>
        <w:rPr>
          <w:rFonts w:ascii="Times New Roman" w:hAnsi="Times New Roman" w:cs="Times New Roman"/>
        </w:rPr>
      </w:pPr>
    </w:p>
    <w:p w14:paraId="47ABBFAA" w14:textId="77777777" w:rsidR="00634DB9" w:rsidRPr="00DD03C5" w:rsidRDefault="00634DB9" w:rsidP="00621EA2">
      <w:pPr>
        <w:pStyle w:val="ad"/>
        <w:spacing w:line="246" w:lineRule="auto"/>
        <w:ind w:firstLine="480"/>
        <w:rPr>
          <w:rFonts w:ascii="Times New Roman" w:hAnsi="Times New Roman" w:cs="Times New Roman"/>
        </w:rPr>
      </w:pPr>
    </w:p>
    <w:p w14:paraId="22E4A67D" w14:textId="77777777" w:rsidR="00634DB9" w:rsidRPr="00DD03C5" w:rsidRDefault="00634DB9" w:rsidP="00621EA2">
      <w:pPr>
        <w:pStyle w:val="ad"/>
        <w:spacing w:line="246" w:lineRule="auto"/>
        <w:ind w:firstLine="480"/>
        <w:rPr>
          <w:rFonts w:ascii="Times New Roman" w:hAnsi="Times New Roman" w:cs="Times New Roman"/>
        </w:rPr>
      </w:pPr>
    </w:p>
    <w:p w14:paraId="73632B1A" w14:textId="42E677B8" w:rsidR="00737C52" w:rsidRPr="00A3267D" w:rsidRDefault="007B7ADF" w:rsidP="00263EBD">
      <w:pPr>
        <w:spacing w:before="153" w:line="235" w:lineRule="auto"/>
        <w:ind w:firstLine="1048"/>
        <w:jc w:val="center"/>
        <w:outlineLvl w:val="0"/>
        <w:rPr>
          <w:rFonts w:ascii="Times New Roman" w:eastAsia="黑体" w:hAnsi="Times New Roman" w:cs="Times New Roman"/>
          <w:b/>
          <w:bCs/>
          <w:spacing w:val="42"/>
          <w:sz w:val="48"/>
          <w:szCs w:val="48"/>
          <w:lang w:eastAsia="zh-CN"/>
        </w:rPr>
      </w:pPr>
      <w:r w:rsidRPr="00A3267D">
        <w:rPr>
          <w:rFonts w:ascii="Times New Roman" w:eastAsia="黑体" w:hAnsi="Times New Roman" w:cs="Times New Roman"/>
          <w:b/>
          <w:bCs/>
          <w:spacing w:val="42"/>
          <w:sz w:val="48"/>
          <w:szCs w:val="48"/>
          <w:lang w:eastAsia="zh-CN"/>
        </w:rPr>
        <w:t>《</w:t>
      </w:r>
      <w:r w:rsidR="00550EAA" w:rsidRPr="00A3267D">
        <w:rPr>
          <w:rFonts w:ascii="Times New Roman" w:eastAsia="黑体" w:hAnsi="Times New Roman" w:cs="Times New Roman" w:hint="eastAsia"/>
          <w:b/>
          <w:bCs/>
          <w:spacing w:val="42"/>
          <w:sz w:val="48"/>
          <w:szCs w:val="48"/>
          <w:lang w:eastAsia="zh-CN"/>
        </w:rPr>
        <w:t>湖北省水泥行业碳计量技术规范不确定度评定</w:t>
      </w:r>
      <w:r w:rsidRPr="00A3267D">
        <w:rPr>
          <w:rFonts w:ascii="Times New Roman" w:eastAsia="黑体" w:hAnsi="Times New Roman" w:cs="Times New Roman"/>
          <w:b/>
          <w:bCs/>
          <w:spacing w:val="42"/>
          <w:sz w:val="48"/>
          <w:szCs w:val="48"/>
          <w:lang w:eastAsia="zh-CN"/>
        </w:rPr>
        <w:t>》</w:t>
      </w:r>
    </w:p>
    <w:p w14:paraId="5B1B0825" w14:textId="77777777" w:rsidR="009F7526" w:rsidRPr="00A3267D" w:rsidRDefault="009F7526" w:rsidP="006842BF">
      <w:pPr>
        <w:ind w:firstLine="1024"/>
        <w:jc w:val="center"/>
        <w:rPr>
          <w:rFonts w:ascii="Times New Roman" w:eastAsia="黑体" w:hAnsi="Times New Roman" w:cs="Times New Roman"/>
          <w:bCs/>
          <w:spacing w:val="32"/>
          <w:sz w:val="48"/>
          <w:szCs w:val="48"/>
          <w:lang w:eastAsia="zh-CN"/>
        </w:rPr>
      </w:pPr>
    </w:p>
    <w:p w14:paraId="09101047" w14:textId="3B24F858" w:rsidR="00634DB9" w:rsidRDefault="007B7ADF" w:rsidP="006842BF">
      <w:pPr>
        <w:ind w:firstLine="1024"/>
        <w:jc w:val="center"/>
        <w:rPr>
          <w:rFonts w:ascii="Times New Roman" w:eastAsia="黑体" w:hAnsi="Times New Roman" w:cs="Times New Roman"/>
          <w:bCs/>
          <w:spacing w:val="32"/>
          <w:sz w:val="48"/>
          <w:szCs w:val="48"/>
          <w:lang w:eastAsia="zh-CN"/>
        </w:rPr>
      </w:pPr>
      <w:r w:rsidRPr="00A3267D">
        <w:rPr>
          <w:rFonts w:ascii="Times New Roman" w:eastAsia="黑体" w:hAnsi="Times New Roman" w:cs="Times New Roman"/>
          <w:bCs/>
          <w:spacing w:val="32"/>
          <w:sz w:val="48"/>
          <w:szCs w:val="48"/>
          <w:lang w:eastAsia="zh-CN"/>
        </w:rPr>
        <w:t>编制说明</w:t>
      </w:r>
    </w:p>
    <w:p w14:paraId="1458299A" w14:textId="0BA439CD" w:rsidR="00F200F0" w:rsidRPr="00A3267D" w:rsidRDefault="00F200F0" w:rsidP="006842BF">
      <w:pPr>
        <w:ind w:firstLine="1024"/>
        <w:jc w:val="center"/>
        <w:rPr>
          <w:b/>
          <w:sz w:val="48"/>
          <w:szCs w:val="48"/>
          <w:lang w:eastAsia="zh-CN"/>
        </w:rPr>
      </w:pPr>
      <w:r>
        <w:rPr>
          <w:rFonts w:ascii="Times New Roman" w:eastAsia="黑体" w:hAnsi="Times New Roman" w:cs="Times New Roman" w:hint="eastAsia"/>
          <w:bCs/>
          <w:spacing w:val="32"/>
          <w:sz w:val="48"/>
          <w:szCs w:val="48"/>
          <w:lang w:eastAsia="zh-CN"/>
        </w:rPr>
        <w:t>（征求意见稿）</w:t>
      </w:r>
    </w:p>
    <w:p w14:paraId="484D2BC4"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5394CBFA"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0E62247E"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661EB41D"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42F09B2B"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237DAA46"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26F9F741" w14:textId="77777777" w:rsidR="00634DB9" w:rsidRPr="00A3267D" w:rsidRDefault="00634DB9" w:rsidP="00621EA2">
      <w:pPr>
        <w:pStyle w:val="ad"/>
        <w:spacing w:line="242" w:lineRule="auto"/>
        <w:ind w:firstLine="480"/>
        <w:rPr>
          <w:rFonts w:ascii="Times New Roman" w:hAnsi="Times New Roman" w:cs="Times New Roman"/>
          <w:lang w:eastAsia="zh-CN"/>
        </w:rPr>
      </w:pPr>
    </w:p>
    <w:p w14:paraId="5E8F3873"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37758AB0"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335665E5"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148FC182"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69FF5E5B"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4D3C9DD"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4BF3DFFA"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65E4589A"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4280389"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E1C4E5A"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6EF69348"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47D2107"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4F68C45C"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141EDD2"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594D3015"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013A8893"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3D962068"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436607AE"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3C41719B"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35B02784"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41E8D57C" w14:textId="77777777" w:rsidR="00634DB9" w:rsidRPr="00A3267D" w:rsidRDefault="00634DB9" w:rsidP="00621EA2">
      <w:pPr>
        <w:pStyle w:val="ad"/>
        <w:spacing w:line="243" w:lineRule="auto"/>
        <w:ind w:firstLine="480"/>
        <w:rPr>
          <w:rFonts w:ascii="Times New Roman" w:hAnsi="Times New Roman" w:cs="Times New Roman"/>
          <w:lang w:eastAsia="zh-CN"/>
        </w:rPr>
      </w:pPr>
    </w:p>
    <w:p w14:paraId="6ADABFAD" w14:textId="77777777" w:rsidR="00056A10" w:rsidRPr="00A3267D" w:rsidRDefault="00056A10" w:rsidP="00BC0703">
      <w:pPr>
        <w:spacing w:before="91" w:line="220" w:lineRule="auto"/>
        <w:ind w:firstLineChars="0" w:firstLine="0"/>
        <w:rPr>
          <w:rFonts w:ascii="Times New Roman" w:hAnsi="Times New Roman" w:cs="Times New Roman"/>
          <w:lang w:eastAsia="zh-CN"/>
        </w:rPr>
      </w:pPr>
    </w:p>
    <w:p w14:paraId="30D209FD" w14:textId="3EA8C001" w:rsidR="00634DB9" w:rsidRPr="00A3267D" w:rsidRDefault="007B7ADF" w:rsidP="002836D7">
      <w:pPr>
        <w:spacing w:before="91" w:line="220" w:lineRule="auto"/>
        <w:ind w:firstLineChars="1300" w:firstLine="3563"/>
        <w:rPr>
          <w:rFonts w:ascii="Times New Roman" w:eastAsia="宋体" w:hAnsi="Times New Roman" w:cs="Times New Roman"/>
          <w:sz w:val="28"/>
          <w:szCs w:val="28"/>
          <w:lang w:eastAsia="zh-CN"/>
        </w:rPr>
      </w:pPr>
      <w:r w:rsidRPr="00A3267D">
        <w:rPr>
          <w:rFonts w:ascii="Times New Roman" w:eastAsia="宋体" w:hAnsi="Times New Roman" w:cs="Times New Roman"/>
          <w:b/>
          <w:bCs/>
          <w:spacing w:val="-7"/>
          <w:sz w:val="28"/>
          <w:szCs w:val="28"/>
          <w:lang w:eastAsia="zh-CN"/>
        </w:rPr>
        <w:lastRenderedPageBreak/>
        <w:t>编制组</w:t>
      </w:r>
    </w:p>
    <w:p w14:paraId="04D5FA24" w14:textId="17BD13C8" w:rsidR="00634DB9" w:rsidRPr="00A3267D" w:rsidRDefault="00E005F9" w:rsidP="002836D7">
      <w:pPr>
        <w:spacing w:before="290" w:line="220" w:lineRule="auto"/>
        <w:ind w:firstLineChars="1200" w:firstLine="3289"/>
        <w:rPr>
          <w:rFonts w:ascii="Times New Roman" w:eastAsia="宋体" w:hAnsi="Times New Roman" w:cs="Times New Roman"/>
          <w:sz w:val="28"/>
          <w:szCs w:val="28"/>
          <w:lang w:eastAsia="zh-CN"/>
        </w:rPr>
        <w:sectPr w:rsidR="00634DB9" w:rsidRPr="00A3267D">
          <w:headerReference w:type="even" r:id="rId8"/>
          <w:headerReference w:type="default" r:id="rId9"/>
          <w:footerReference w:type="even" r:id="rId10"/>
          <w:footerReference w:type="default" r:id="rId11"/>
          <w:headerReference w:type="first" r:id="rId12"/>
          <w:footerReference w:type="first" r:id="rId13"/>
          <w:pgSz w:w="11906" w:h="16839"/>
          <w:pgMar w:top="1091" w:right="1785" w:bottom="1314" w:left="1785" w:header="863" w:footer="1100" w:gutter="0"/>
          <w:cols w:space="720"/>
        </w:sectPr>
      </w:pPr>
      <w:r w:rsidRPr="00A3267D">
        <w:rPr>
          <w:rFonts w:ascii="Times New Roman" w:eastAsia="宋体" w:hAnsi="Times New Roman" w:cs="Times New Roman"/>
          <w:b/>
          <w:bCs/>
          <w:spacing w:val="-7"/>
          <w:sz w:val="28"/>
          <w:szCs w:val="28"/>
          <w:lang w:eastAsia="zh-CN"/>
        </w:rPr>
        <w:t>202</w:t>
      </w:r>
      <w:r w:rsidR="0000550D" w:rsidRPr="00A3267D">
        <w:rPr>
          <w:rFonts w:ascii="Times New Roman" w:eastAsia="宋体" w:hAnsi="Times New Roman" w:cs="Times New Roman" w:hint="eastAsia"/>
          <w:b/>
          <w:bCs/>
          <w:spacing w:val="-7"/>
          <w:sz w:val="28"/>
          <w:szCs w:val="28"/>
          <w:lang w:eastAsia="zh-CN"/>
        </w:rPr>
        <w:t>5</w:t>
      </w:r>
      <w:r w:rsidR="00E96BE5" w:rsidRPr="00A3267D">
        <w:rPr>
          <w:rFonts w:ascii="Times New Roman" w:eastAsia="宋体" w:hAnsi="Times New Roman" w:cs="Times New Roman"/>
          <w:b/>
          <w:bCs/>
          <w:spacing w:val="-7"/>
          <w:sz w:val="28"/>
          <w:szCs w:val="28"/>
          <w:lang w:eastAsia="zh-CN"/>
        </w:rPr>
        <w:t xml:space="preserve"> </w:t>
      </w:r>
      <w:r w:rsidR="007B7ADF" w:rsidRPr="00A3267D">
        <w:rPr>
          <w:rFonts w:ascii="Times New Roman" w:eastAsia="宋体" w:hAnsi="Times New Roman" w:cs="Times New Roman"/>
          <w:spacing w:val="-57"/>
          <w:sz w:val="28"/>
          <w:szCs w:val="28"/>
          <w:lang w:eastAsia="zh-CN"/>
        </w:rPr>
        <w:t xml:space="preserve"> </w:t>
      </w:r>
      <w:r w:rsidR="007B7ADF" w:rsidRPr="00A3267D">
        <w:rPr>
          <w:rFonts w:ascii="Times New Roman" w:eastAsia="宋体" w:hAnsi="Times New Roman" w:cs="Times New Roman"/>
          <w:b/>
          <w:bCs/>
          <w:spacing w:val="-7"/>
          <w:sz w:val="28"/>
          <w:szCs w:val="28"/>
          <w:lang w:eastAsia="zh-CN"/>
        </w:rPr>
        <w:t>年</w:t>
      </w:r>
      <w:r w:rsidR="007B7ADF" w:rsidRPr="00A3267D">
        <w:rPr>
          <w:rFonts w:ascii="Times New Roman" w:eastAsia="宋体" w:hAnsi="Times New Roman" w:cs="Times New Roman"/>
          <w:spacing w:val="12"/>
          <w:sz w:val="28"/>
          <w:szCs w:val="28"/>
          <w:lang w:eastAsia="zh-CN"/>
        </w:rPr>
        <w:t xml:space="preserve"> </w:t>
      </w:r>
      <w:r w:rsidR="00312AB0" w:rsidRPr="00A3267D">
        <w:rPr>
          <w:rFonts w:ascii="Times New Roman" w:eastAsia="宋体" w:hAnsi="Times New Roman" w:cs="Times New Roman"/>
          <w:b/>
          <w:bCs/>
          <w:spacing w:val="-7"/>
          <w:sz w:val="28"/>
          <w:szCs w:val="28"/>
          <w:lang w:eastAsia="zh-CN"/>
        </w:rPr>
        <w:t>10</w:t>
      </w:r>
      <w:r w:rsidR="007B7ADF" w:rsidRPr="00A3267D">
        <w:rPr>
          <w:rFonts w:ascii="Times New Roman" w:eastAsia="宋体" w:hAnsi="Times New Roman" w:cs="Times New Roman"/>
          <w:spacing w:val="18"/>
          <w:sz w:val="28"/>
          <w:szCs w:val="28"/>
          <w:lang w:eastAsia="zh-CN"/>
        </w:rPr>
        <w:t xml:space="preserve"> </w:t>
      </w:r>
      <w:r w:rsidR="007B7ADF" w:rsidRPr="00A3267D">
        <w:rPr>
          <w:rFonts w:ascii="Times New Roman" w:eastAsia="宋体" w:hAnsi="Times New Roman" w:cs="Times New Roman"/>
          <w:b/>
          <w:bCs/>
          <w:spacing w:val="-7"/>
          <w:sz w:val="28"/>
          <w:szCs w:val="28"/>
          <w:lang w:eastAsia="zh-CN"/>
        </w:rPr>
        <w:t>月</w:t>
      </w:r>
    </w:p>
    <w:p w14:paraId="1FE9F8A5" w14:textId="77777777" w:rsidR="00634DB9" w:rsidRPr="00A3267D" w:rsidRDefault="00634DB9" w:rsidP="00621EA2">
      <w:pPr>
        <w:pStyle w:val="ad"/>
        <w:spacing w:line="247" w:lineRule="auto"/>
        <w:ind w:firstLine="480"/>
        <w:rPr>
          <w:rFonts w:ascii="Times New Roman" w:eastAsiaTheme="minorEastAsia" w:hAnsi="Times New Roman" w:cs="Times New Roman"/>
          <w:lang w:eastAsia="zh-CN"/>
        </w:rPr>
      </w:pPr>
    </w:p>
    <w:p w14:paraId="1F8808FF" w14:textId="10BBFEC7" w:rsidR="00C01213" w:rsidRPr="00A3267D" w:rsidRDefault="00105DDE" w:rsidP="00B06D83">
      <w:pPr>
        <w:ind w:firstLine="622"/>
        <w:jc w:val="center"/>
        <w:rPr>
          <w:b/>
          <w:sz w:val="31"/>
          <w:szCs w:val="31"/>
          <w:lang w:eastAsia="zh-CN"/>
        </w:rPr>
      </w:pPr>
      <w:r w:rsidRPr="00A3267D">
        <w:rPr>
          <w:b/>
          <w:sz w:val="31"/>
          <w:szCs w:val="31"/>
          <w:lang w:eastAsia="zh-CN"/>
        </w:rPr>
        <w:t>《</w:t>
      </w:r>
      <w:r w:rsidR="00550EAA" w:rsidRPr="00A3267D">
        <w:rPr>
          <w:rFonts w:hint="eastAsia"/>
          <w:b/>
          <w:sz w:val="31"/>
          <w:szCs w:val="31"/>
          <w:lang w:eastAsia="zh-CN"/>
        </w:rPr>
        <w:t>湖北省水泥行业碳计量技术规范不确定度评定</w:t>
      </w:r>
      <w:r w:rsidRPr="00A3267D">
        <w:rPr>
          <w:b/>
          <w:sz w:val="31"/>
          <w:szCs w:val="31"/>
          <w:lang w:eastAsia="zh-CN"/>
        </w:rPr>
        <w:t>》</w:t>
      </w:r>
    </w:p>
    <w:p w14:paraId="58504FCF" w14:textId="4D540921" w:rsidR="00634DB9" w:rsidRPr="00A3267D" w:rsidRDefault="007B7ADF" w:rsidP="00C01213">
      <w:pPr>
        <w:ind w:firstLine="634"/>
        <w:jc w:val="center"/>
        <w:rPr>
          <w:b/>
          <w:sz w:val="31"/>
          <w:szCs w:val="31"/>
          <w:lang w:eastAsia="zh-CN"/>
        </w:rPr>
      </w:pPr>
      <w:r w:rsidRPr="00A3267D">
        <w:rPr>
          <w:rFonts w:ascii="Times New Roman" w:eastAsia="宋体" w:hAnsi="Times New Roman" w:cs="Times New Roman"/>
          <w:b/>
          <w:bCs/>
          <w:spacing w:val="6"/>
          <w:sz w:val="31"/>
          <w:szCs w:val="31"/>
          <w:lang w:eastAsia="zh-CN"/>
        </w:rPr>
        <w:t>编制说明</w:t>
      </w:r>
    </w:p>
    <w:p w14:paraId="1C12A692" w14:textId="77777777" w:rsidR="00634DB9" w:rsidRPr="00A3267D" w:rsidRDefault="00634DB9" w:rsidP="00621EA2">
      <w:pPr>
        <w:pStyle w:val="ad"/>
        <w:spacing w:line="252" w:lineRule="auto"/>
        <w:ind w:firstLine="480"/>
        <w:rPr>
          <w:rFonts w:ascii="Times New Roman" w:eastAsiaTheme="minorEastAsia" w:hAnsi="Times New Roman" w:cs="Times New Roman"/>
          <w:lang w:eastAsia="zh-CN"/>
        </w:rPr>
      </w:pPr>
    </w:p>
    <w:p w14:paraId="128CF7DF" w14:textId="77777777" w:rsidR="00634DB9" w:rsidRPr="00A3267D" w:rsidRDefault="007B7ADF" w:rsidP="00C93484">
      <w:pPr>
        <w:pStyle w:val="1"/>
        <w:spacing w:before="0" w:after="0" w:line="360" w:lineRule="auto"/>
        <w:ind w:firstLine="480"/>
        <w:rPr>
          <w:rFonts w:ascii="黑体" w:eastAsia="黑体" w:hAnsi="黑体"/>
          <w:b w:val="0"/>
          <w:sz w:val="24"/>
          <w:szCs w:val="24"/>
          <w:lang w:eastAsia="zh-CN"/>
        </w:rPr>
      </w:pPr>
      <w:r w:rsidRPr="00A3267D">
        <w:rPr>
          <w:rFonts w:ascii="黑体" w:eastAsia="黑体" w:hAnsi="黑体"/>
          <w:b w:val="0"/>
          <w:sz w:val="24"/>
          <w:szCs w:val="24"/>
          <w:lang w:eastAsia="zh-CN"/>
        </w:rPr>
        <w:t>一、编制规范的项目背景（任务来源、目的和意义等）</w:t>
      </w:r>
    </w:p>
    <w:p w14:paraId="450DEEC4" w14:textId="29E7BCDD" w:rsidR="00F221D5" w:rsidRPr="00A3267D" w:rsidRDefault="00F1128A" w:rsidP="00BC0703">
      <w:pPr>
        <w:ind w:firstLine="472"/>
        <w:jc w:val="both"/>
        <w:outlineLvl w:val="2"/>
        <w:rPr>
          <w:rFonts w:asciiTheme="minorEastAsia" w:hAnsiTheme="minorEastAsia" w:cs="Times New Roman"/>
          <w:b/>
          <w:noProof w:val="0"/>
          <w:snapToGrid/>
          <w:color w:val="auto"/>
          <w:kern w:val="2"/>
          <w:szCs w:val="32"/>
          <w:lang w:eastAsia="zh-CN"/>
        </w:rPr>
      </w:pPr>
      <w:r w:rsidRPr="00A3267D">
        <w:rPr>
          <w:rFonts w:asciiTheme="minorEastAsia" w:hAnsiTheme="minorEastAsia" w:cs="Times New Roman"/>
          <w:b/>
          <w:spacing w:val="-5"/>
          <w:szCs w:val="24"/>
          <w:lang w:eastAsia="zh-CN"/>
        </w:rPr>
        <w:t>1</w:t>
      </w:r>
      <w:r w:rsidR="00B176EC" w:rsidRPr="00A3267D">
        <w:rPr>
          <w:rFonts w:asciiTheme="minorEastAsia" w:hAnsiTheme="minorEastAsia" w:cs="Times New Roman"/>
          <w:b/>
          <w:spacing w:val="-5"/>
          <w:szCs w:val="24"/>
          <w:lang w:eastAsia="zh-CN"/>
        </w:rPr>
        <w:t>.</w:t>
      </w:r>
      <w:r w:rsidR="00F221D5" w:rsidRPr="00A3267D">
        <w:rPr>
          <w:rFonts w:asciiTheme="minorEastAsia" w:hAnsiTheme="minorEastAsia" w:cs="Times New Roman"/>
          <w:b/>
          <w:spacing w:val="-5"/>
          <w:szCs w:val="24"/>
          <w:lang w:eastAsia="zh-CN"/>
        </w:rPr>
        <w:t>任务来源</w:t>
      </w:r>
    </w:p>
    <w:p w14:paraId="428DBD5B" w14:textId="6D59F83A" w:rsidR="003F1A6E" w:rsidRPr="00A3267D" w:rsidRDefault="00364EBF" w:rsidP="003A2FD8">
      <w:pPr>
        <w:ind w:firstLine="480"/>
        <w:jc w:val="both"/>
        <w:rPr>
          <w:rFonts w:ascii="Times New Roman" w:eastAsia="宋体" w:hAnsi="Times New Roman" w:cs="Times New Roman"/>
          <w:noProof w:val="0"/>
          <w:snapToGrid/>
          <w:color w:val="auto"/>
          <w:kern w:val="2"/>
          <w:szCs w:val="32"/>
          <w:lang w:eastAsia="zh-CN"/>
        </w:rPr>
      </w:pPr>
      <w:r w:rsidRPr="00A3267D">
        <w:rPr>
          <w:rFonts w:ascii="Times New Roman" w:eastAsia="宋体" w:hAnsi="Times New Roman" w:cs="Times New Roman" w:hint="eastAsia"/>
          <w:noProof w:val="0"/>
          <w:snapToGrid/>
          <w:color w:val="auto"/>
          <w:kern w:val="2"/>
          <w:szCs w:val="32"/>
          <w:lang w:eastAsia="zh-CN"/>
        </w:rPr>
        <w:t>根据</w:t>
      </w:r>
      <w:r w:rsidR="00111FF9" w:rsidRPr="00A3267D">
        <w:rPr>
          <w:rFonts w:ascii="Times New Roman" w:eastAsia="宋体" w:hAnsi="Times New Roman" w:cs="Times New Roman"/>
          <w:noProof w:val="0"/>
          <w:snapToGrid/>
          <w:color w:val="auto"/>
          <w:kern w:val="2"/>
          <w:szCs w:val="32"/>
          <w:lang w:eastAsia="zh-CN"/>
        </w:rPr>
        <w:t>湖北省市场监督管理局下达的</w:t>
      </w:r>
      <w:r w:rsidR="00B42B80" w:rsidRPr="00A3267D">
        <w:rPr>
          <w:rFonts w:ascii="Times New Roman" w:eastAsia="宋体" w:hAnsi="Times New Roman" w:cs="Times New Roman"/>
          <w:noProof w:val="0"/>
          <w:snapToGrid/>
          <w:color w:val="auto"/>
          <w:kern w:val="2"/>
          <w:szCs w:val="32"/>
          <w:lang w:eastAsia="zh-CN"/>
        </w:rPr>
        <w:t>《</w:t>
      </w:r>
      <w:r w:rsidR="00FF4503" w:rsidRPr="00A3267D">
        <w:rPr>
          <w:rFonts w:ascii="Times New Roman" w:eastAsia="宋体" w:hAnsi="Times New Roman" w:cs="Times New Roman" w:hint="eastAsia"/>
          <w:noProof w:val="0"/>
          <w:snapToGrid/>
          <w:color w:val="auto"/>
          <w:kern w:val="2"/>
          <w:szCs w:val="32"/>
          <w:lang w:eastAsia="zh-CN"/>
        </w:rPr>
        <w:t>省市场监管局关于开展</w:t>
      </w:r>
      <w:r w:rsidR="00FF4503" w:rsidRPr="00A3267D">
        <w:rPr>
          <w:rFonts w:ascii="Times New Roman" w:eastAsia="宋体" w:hAnsi="Times New Roman" w:cs="Times New Roman" w:hint="eastAsia"/>
          <w:noProof w:val="0"/>
          <w:snapToGrid/>
          <w:color w:val="auto"/>
          <w:kern w:val="2"/>
          <w:szCs w:val="32"/>
          <w:lang w:eastAsia="zh-CN"/>
        </w:rPr>
        <w:t>2025</w:t>
      </w:r>
      <w:r w:rsidR="00FF4503" w:rsidRPr="00A3267D">
        <w:rPr>
          <w:rFonts w:ascii="Times New Roman" w:eastAsia="宋体" w:hAnsi="Times New Roman" w:cs="Times New Roman" w:hint="eastAsia"/>
          <w:noProof w:val="0"/>
          <w:snapToGrid/>
          <w:color w:val="auto"/>
          <w:kern w:val="2"/>
          <w:szCs w:val="32"/>
          <w:lang w:eastAsia="zh-CN"/>
        </w:rPr>
        <w:t>年度地方计量技术规范制修订工作的通知</w:t>
      </w:r>
      <w:r w:rsidR="001927C6" w:rsidRPr="00A3267D">
        <w:rPr>
          <w:rFonts w:ascii="Times New Roman" w:eastAsia="宋体" w:hAnsi="Times New Roman" w:cs="Times New Roman"/>
          <w:noProof w:val="0"/>
          <w:snapToGrid/>
          <w:color w:val="auto"/>
          <w:kern w:val="2"/>
          <w:szCs w:val="32"/>
          <w:lang w:eastAsia="zh-CN"/>
        </w:rPr>
        <w:t>》</w:t>
      </w:r>
      <w:r w:rsidR="00101CCD" w:rsidRPr="00A3267D">
        <w:rPr>
          <w:rFonts w:ascii="Times New Roman" w:eastAsia="宋体" w:hAnsi="Times New Roman" w:cs="Times New Roman" w:hint="eastAsia"/>
          <w:noProof w:val="0"/>
          <w:snapToGrid/>
          <w:color w:val="auto"/>
          <w:kern w:val="2"/>
          <w:szCs w:val="32"/>
          <w:lang w:eastAsia="zh-CN"/>
        </w:rPr>
        <w:t>（鄂市监量函〔</w:t>
      </w:r>
      <w:r w:rsidR="00101CCD" w:rsidRPr="00A3267D">
        <w:rPr>
          <w:rFonts w:ascii="Times New Roman" w:eastAsia="宋体" w:hAnsi="Times New Roman" w:cs="Times New Roman" w:hint="eastAsia"/>
          <w:noProof w:val="0"/>
          <w:snapToGrid/>
          <w:color w:val="auto"/>
          <w:kern w:val="2"/>
          <w:szCs w:val="32"/>
          <w:lang w:eastAsia="zh-CN"/>
        </w:rPr>
        <w:t>2025</w:t>
      </w:r>
      <w:r w:rsidR="00101CCD" w:rsidRPr="00A3267D">
        <w:rPr>
          <w:rFonts w:ascii="Times New Roman" w:eastAsia="宋体" w:hAnsi="Times New Roman" w:cs="Times New Roman" w:hint="eastAsia"/>
          <w:noProof w:val="0"/>
          <w:snapToGrid/>
          <w:color w:val="auto"/>
          <w:kern w:val="2"/>
          <w:szCs w:val="32"/>
          <w:lang w:eastAsia="zh-CN"/>
        </w:rPr>
        <w:t>〕</w:t>
      </w:r>
      <w:r w:rsidR="00101CCD" w:rsidRPr="00A3267D">
        <w:rPr>
          <w:rFonts w:ascii="Times New Roman" w:eastAsia="宋体" w:hAnsi="Times New Roman" w:cs="Times New Roman" w:hint="eastAsia"/>
          <w:noProof w:val="0"/>
          <w:snapToGrid/>
          <w:color w:val="auto"/>
          <w:kern w:val="2"/>
          <w:szCs w:val="32"/>
          <w:lang w:eastAsia="zh-CN"/>
        </w:rPr>
        <w:t>51</w:t>
      </w:r>
      <w:r w:rsidR="00101CCD" w:rsidRPr="00A3267D">
        <w:rPr>
          <w:rFonts w:ascii="Times New Roman" w:eastAsia="宋体" w:hAnsi="Times New Roman" w:cs="Times New Roman" w:hint="eastAsia"/>
          <w:noProof w:val="0"/>
          <w:snapToGrid/>
          <w:color w:val="auto"/>
          <w:kern w:val="2"/>
          <w:szCs w:val="32"/>
          <w:lang w:eastAsia="zh-CN"/>
        </w:rPr>
        <w:t>号）</w:t>
      </w:r>
      <w:r w:rsidR="003A2FD8" w:rsidRPr="00A3267D">
        <w:rPr>
          <w:rFonts w:ascii="Times New Roman" w:eastAsia="宋体" w:hAnsi="Times New Roman" w:cs="Times New Roman"/>
          <w:noProof w:val="0"/>
          <w:snapToGrid/>
          <w:color w:val="auto"/>
          <w:kern w:val="2"/>
          <w:szCs w:val="32"/>
          <w:lang w:eastAsia="zh-CN"/>
        </w:rPr>
        <w:t>中</w:t>
      </w:r>
      <w:r w:rsidR="00701AFD" w:rsidRPr="00A3267D">
        <w:rPr>
          <w:rFonts w:ascii="Times New Roman" w:eastAsia="宋体" w:hAnsi="Times New Roman" w:cs="Times New Roman" w:hint="eastAsia"/>
          <w:noProof w:val="0"/>
          <w:snapToGrid/>
          <w:color w:val="auto"/>
          <w:kern w:val="2"/>
          <w:szCs w:val="32"/>
          <w:lang w:eastAsia="zh-CN"/>
        </w:rPr>
        <w:t>“</w:t>
      </w:r>
      <w:r w:rsidR="003A2FD8" w:rsidRPr="00A3267D">
        <w:rPr>
          <w:rFonts w:ascii="Times New Roman" w:eastAsia="宋体" w:hAnsi="Times New Roman" w:cs="Times New Roman" w:hint="eastAsia"/>
          <w:noProof w:val="0"/>
          <w:snapToGrid/>
          <w:color w:val="auto"/>
          <w:kern w:val="2"/>
          <w:szCs w:val="32"/>
          <w:lang w:eastAsia="zh-CN"/>
        </w:rPr>
        <w:t>2025</w:t>
      </w:r>
      <w:r w:rsidR="003A2FD8" w:rsidRPr="00A3267D">
        <w:rPr>
          <w:rFonts w:ascii="Times New Roman" w:eastAsia="宋体" w:hAnsi="Times New Roman" w:cs="Times New Roman" w:hint="eastAsia"/>
          <w:noProof w:val="0"/>
          <w:snapToGrid/>
          <w:color w:val="auto"/>
          <w:kern w:val="2"/>
          <w:szCs w:val="32"/>
          <w:lang w:eastAsia="zh-CN"/>
        </w:rPr>
        <w:t>年度湖北省地方计量技术规范制修订计划</w:t>
      </w:r>
      <w:r w:rsidR="00EE6F0B" w:rsidRPr="00A3267D">
        <w:rPr>
          <w:rFonts w:ascii="Times New Roman" w:eastAsia="宋体" w:hAnsi="Times New Roman" w:cs="Times New Roman" w:hint="eastAsia"/>
          <w:noProof w:val="0"/>
          <w:snapToGrid/>
          <w:color w:val="auto"/>
          <w:kern w:val="2"/>
          <w:szCs w:val="32"/>
          <w:lang w:eastAsia="zh-CN"/>
        </w:rPr>
        <w:t>”</w:t>
      </w:r>
      <w:r w:rsidR="00830CCF" w:rsidRPr="00A3267D">
        <w:rPr>
          <w:rFonts w:ascii="Times New Roman" w:eastAsia="宋体" w:hAnsi="Times New Roman" w:cs="Times New Roman" w:hint="eastAsia"/>
          <w:noProof w:val="0"/>
          <w:snapToGrid/>
          <w:color w:val="auto"/>
          <w:kern w:val="2"/>
          <w:szCs w:val="32"/>
          <w:lang w:eastAsia="zh-CN"/>
        </w:rPr>
        <w:t>要求，下达了本规范的制定任务</w:t>
      </w:r>
      <w:r w:rsidR="00544A48" w:rsidRPr="00A3267D">
        <w:rPr>
          <w:rFonts w:ascii="Times New Roman" w:eastAsia="宋体" w:hAnsi="Times New Roman" w:cs="Times New Roman" w:hint="eastAsia"/>
          <w:noProof w:val="0"/>
          <w:snapToGrid/>
          <w:color w:val="auto"/>
          <w:kern w:val="2"/>
          <w:szCs w:val="32"/>
          <w:lang w:eastAsia="zh-CN"/>
        </w:rPr>
        <w:t>。</w:t>
      </w:r>
      <w:r w:rsidR="00830CCF" w:rsidRPr="00A3267D">
        <w:rPr>
          <w:rFonts w:ascii="Times New Roman" w:eastAsia="宋体" w:hAnsi="Times New Roman" w:cs="Times New Roman" w:hint="eastAsia"/>
          <w:noProof w:val="0"/>
          <w:snapToGrid/>
          <w:color w:val="auto"/>
          <w:kern w:val="2"/>
          <w:szCs w:val="32"/>
          <w:lang w:eastAsia="zh-CN"/>
        </w:rPr>
        <w:t>本规范</w:t>
      </w:r>
      <w:r w:rsidR="00544A48" w:rsidRPr="00A3267D">
        <w:rPr>
          <w:rFonts w:ascii="Times New Roman" w:eastAsia="宋体" w:hAnsi="Times New Roman" w:cs="Times New Roman" w:hint="eastAsia"/>
          <w:noProof w:val="0"/>
          <w:snapToGrid/>
          <w:color w:val="auto"/>
          <w:kern w:val="2"/>
          <w:szCs w:val="32"/>
          <w:lang w:eastAsia="zh-CN"/>
        </w:rPr>
        <w:t>为</w:t>
      </w:r>
      <w:r w:rsidR="00C952C9" w:rsidRPr="00A3267D">
        <w:rPr>
          <w:rFonts w:ascii="Times New Roman" w:eastAsia="宋体" w:hAnsi="Times New Roman" w:cs="Times New Roman" w:hint="eastAsia"/>
          <w:noProof w:val="0"/>
          <w:snapToGrid/>
          <w:color w:val="auto"/>
          <w:kern w:val="2"/>
          <w:szCs w:val="32"/>
          <w:lang w:eastAsia="zh-CN"/>
        </w:rPr>
        <w:t>烟气直测法</w:t>
      </w:r>
      <w:r w:rsidR="002947C9" w:rsidRPr="00A3267D">
        <w:rPr>
          <w:rFonts w:ascii="Times New Roman" w:eastAsia="宋体" w:hAnsi="Times New Roman" w:cs="Times New Roman" w:hint="eastAsia"/>
          <w:noProof w:val="0"/>
          <w:snapToGrid/>
          <w:color w:val="auto"/>
          <w:kern w:val="2"/>
          <w:szCs w:val="32"/>
          <w:lang w:eastAsia="zh-CN"/>
        </w:rPr>
        <w:t>与</w:t>
      </w:r>
      <w:r w:rsidR="00783630" w:rsidRPr="00A3267D">
        <w:rPr>
          <w:rFonts w:ascii="Times New Roman" w:eastAsia="宋体" w:hAnsi="Times New Roman" w:cs="Times New Roman" w:hint="eastAsia"/>
          <w:noProof w:val="0"/>
          <w:snapToGrid/>
          <w:color w:val="auto"/>
          <w:kern w:val="2"/>
          <w:szCs w:val="32"/>
          <w:lang w:eastAsia="zh-CN"/>
        </w:rPr>
        <w:t>标准计算法（核算法）</w:t>
      </w:r>
      <w:r w:rsidR="00842D6D" w:rsidRPr="00A3267D">
        <w:rPr>
          <w:rFonts w:ascii="Times New Roman" w:eastAsia="宋体" w:hAnsi="Times New Roman" w:cs="Times New Roman" w:hint="eastAsia"/>
          <w:noProof w:val="0"/>
          <w:snapToGrid/>
          <w:color w:val="auto"/>
          <w:kern w:val="2"/>
          <w:szCs w:val="32"/>
          <w:lang w:eastAsia="zh-CN"/>
        </w:rPr>
        <w:t>碳排放量</w:t>
      </w:r>
      <w:r w:rsidR="00B20459" w:rsidRPr="00A3267D">
        <w:rPr>
          <w:rFonts w:ascii="Times New Roman" w:eastAsia="宋体" w:hAnsi="Times New Roman" w:cs="Times New Roman" w:hint="eastAsia"/>
          <w:noProof w:val="0"/>
          <w:snapToGrid/>
          <w:color w:val="auto"/>
          <w:kern w:val="2"/>
          <w:szCs w:val="32"/>
          <w:lang w:eastAsia="zh-CN"/>
        </w:rPr>
        <w:t>不确定度评定</w:t>
      </w:r>
      <w:r w:rsidR="002947C9" w:rsidRPr="00A3267D">
        <w:rPr>
          <w:rFonts w:ascii="Times New Roman" w:eastAsia="宋体" w:hAnsi="Times New Roman" w:cs="Times New Roman" w:hint="eastAsia"/>
          <w:noProof w:val="0"/>
          <w:snapToGrid/>
          <w:color w:val="auto"/>
          <w:kern w:val="2"/>
          <w:szCs w:val="32"/>
          <w:lang w:eastAsia="zh-CN"/>
        </w:rPr>
        <w:t>提供</w:t>
      </w:r>
      <w:r w:rsidR="00405C3C" w:rsidRPr="00A3267D">
        <w:rPr>
          <w:rFonts w:ascii="Times New Roman" w:eastAsia="宋体" w:hAnsi="Times New Roman" w:cs="Times New Roman" w:hint="eastAsia"/>
          <w:noProof w:val="0"/>
          <w:snapToGrid/>
          <w:color w:val="auto"/>
          <w:kern w:val="2"/>
          <w:szCs w:val="32"/>
          <w:lang w:eastAsia="zh-CN"/>
        </w:rPr>
        <w:t>技术要求</w:t>
      </w:r>
      <w:r w:rsidR="002B3606" w:rsidRPr="00A3267D">
        <w:rPr>
          <w:rFonts w:ascii="Times New Roman" w:eastAsia="宋体" w:hAnsi="Times New Roman" w:cs="Times New Roman" w:hint="eastAsia"/>
          <w:noProof w:val="0"/>
          <w:snapToGrid/>
          <w:color w:val="auto"/>
          <w:kern w:val="2"/>
          <w:szCs w:val="32"/>
          <w:lang w:eastAsia="zh-CN"/>
        </w:rPr>
        <w:t>，</w:t>
      </w:r>
      <w:r w:rsidRPr="00A3267D">
        <w:rPr>
          <w:rFonts w:ascii="Times New Roman" w:eastAsia="宋体" w:hAnsi="Times New Roman" w:cs="Times New Roman" w:hint="eastAsia"/>
          <w:noProof w:val="0"/>
          <w:snapToGrid/>
          <w:color w:val="auto"/>
          <w:kern w:val="2"/>
          <w:szCs w:val="32"/>
          <w:lang w:eastAsia="zh-CN"/>
        </w:rPr>
        <w:t>为针对性</w:t>
      </w:r>
      <w:r w:rsidR="002B3606" w:rsidRPr="00A3267D">
        <w:rPr>
          <w:rFonts w:ascii="Times New Roman" w:eastAsia="宋体" w:hAnsi="Times New Roman" w:cs="Times New Roman" w:hint="eastAsia"/>
          <w:noProof w:val="0"/>
          <w:snapToGrid/>
          <w:color w:val="auto"/>
          <w:kern w:val="2"/>
          <w:szCs w:val="32"/>
          <w:lang w:eastAsia="zh-CN"/>
        </w:rPr>
        <w:t>提高碳排放碳计量</w:t>
      </w:r>
      <w:r w:rsidR="00625B0C" w:rsidRPr="00A3267D">
        <w:rPr>
          <w:rFonts w:ascii="Times New Roman" w:eastAsia="宋体" w:hAnsi="Times New Roman" w:cs="Times New Roman" w:hint="eastAsia"/>
          <w:noProof w:val="0"/>
          <w:snapToGrid/>
          <w:color w:val="auto"/>
          <w:kern w:val="2"/>
          <w:szCs w:val="32"/>
          <w:lang w:eastAsia="zh-CN"/>
        </w:rPr>
        <w:t>的</w:t>
      </w:r>
      <w:r w:rsidR="002B3606" w:rsidRPr="00A3267D">
        <w:rPr>
          <w:rFonts w:ascii="Times New Roman" w:eastAsia="宋体" w:hAnsi="Times New Roman" w:cs="Times New Roman" w:hint="eastAsia"/>
          <w:noProof w:val="0"/>
          <w:snapToGrid/>
          <w:color w:val="auto"/>
          <w:kern w:val="2"/>
          <w:szCs w:val="32"/>
          <w:lang w:eastAsia="zh-CN"/>
        </w:rPr>
        <w:t>数据质量</w:t>
      </w:r>
      <w:r w:rsidRPr="00A3267D">
        <w:rPr>
          <w:rFonts w:ascii="Times New Roman" w:eastAsia="宋体" w:hAnsi="Times New Roman" w:cs="Times New Roman" w:hint="eastAsia"/>
          <w:noProof w:val="0"/>
          <w:snapToGrid/>
          <w:color w:val="auto"/>
          <w:kern w:val="2"/>
          <w:szCs w:val="32"/>
          <w:lang w:eastAsia="zh-CN"/>
        </w:rPr>
        <w:t>提供</w:t>
      </w:r>
      <w:r w:rsidR="00115CE7" w:rsidRPr="00A3267D">
        <w:rPr>
          <w:rFonts w:ascii="Times New Roman" w:eastAsia="宋体" w:hAnsi="Times New Roman" w:cs="Times New Roman" w:hint="eastAsia"/>
          <w:noProof w:val="0"/>
          <w:snapToGrid/>
          <w:color w:val="auto"/>
          <w:kern w:val="2"/>
          <w:szCs w:val="32"/>
          <w:lang w:eastAsia="zh-CN"/>
        </w:rPr>
        <w:t>方法学</w:t>
      </w:r>
      <w:r w:rsidRPr="00A3267D">
        <w:rPr>
          <w:rFonts w:ascii="Times New Roman" w:eastAsia="宋体" w:hAnsi="Times New Roman" w:cs="Times New Roman" w:hint="eastAsia"/>
          <w:noProof w:val="0"/>
          <w:snapToGrid/>
          <w:color w:val="auto"/>
          <w:kern w:val="2"/>
          <w:szCs w:val="32"/>
          <w:lang w:eastAsia="zh-CN"/>
        </w:rPr>
        <w:t>依据</w:t>
      </w:r>
      <w:r w:rsidR="00F25DE8" w:rsidRPr="00A3267D">
        <w:rPr>
          <w:rFonts w:ascii="Times New Roman" w:eastAsia="宋体" w:hAnsi="Times New Roman" w:cs="Times New Roman"/>
          <w:noProof w:val="0"/>
          <w:snapToGrid/>
          <w:color w:val="auto"/>
          <w:kern w:val="2"/>
          <w:szCs w:val="32"/>
          <w:lang w:eastAsia="zh-CN"/>
        </w:rPr>
        <w:t>。</w:t>
      </w:r>
    </w:p>
    <w:p w14:paraId="52A611F7" w14:textId="6580FF1C" w:rsidR="00F1128A" w:rsidRPr="00A3267D" w:rsidRDefault="00F1128A" w:rsidP="000D3B48">
      <w:pPr>
        <w:ind w:firstLine="472"/>
        <w:jc w:val="both"/>
        <w:outlineLvl w:val="2"/>
        <w:rPr>
          <w:rFonts w:asciiTheme="minorEastAsia" w:hAnsiTheme="minorEastAsia" w:cs="Times New Roman"/>
          <w:b/>
          <w:noProof w:val="0"/>
          <w:snapToGrid/>
          <w:color w:val="auto"/>
          <w:kern w:val="2"/>
          <w:szCs w:val="32"/>
          <w:lang w:eastAsia="zh-CN"/>
        </w:rPr>
      </w:pPr>
      <w:r w:rsidRPr="00A3267D">
        <w:rPr>
          <w:rFonts w:asciiTheme="minorEastAsia" w:hAnsiTheme="minorEastAsia" w:cs="Times New Roman"/>
          <w:b/>
          <w:spacing w:val="-5"/>
          <w:szCs w:val="24"/>
          <w:lang w:eastAsia="zh-CN"/>
        </w:rPr>
        <w:t>2</w:t>
      </w:r>
      <w:r w:rsidR="00B176EC" w:rsidRPr="00A3267D">
        <w:rPr>
          <w:rFonts w:asciiTheme="minorEastAsia" w:hAnsiTheme="minorEastAsia" w:cs="Times New Roman"/>
          <w:b/>
          <w:spacing w:val="-5"/>
          <w:szCs w:val="24"/>
          <w:lang w:eastAsia="zh-CN"/>
        </w:rPr>
        <w:t>.</w:t>
      </w:r>
      <w:r w:rsidR="000F67B2" w:rsidRPr="00A3267D">
        <w:rPr>
          <w:rFonts w:asciiTheme="minorEastAsia" w:hAnsiTheme="minorEastAsia" w:cs="Times New Roman"/>
          <w:b/>
          <w:spacing w:val="-5"/>
          <w:szCs w:val="24"/>
          <w:lang w:eastAsia="zh-CN"/>
        </w:rPr>
        <w:t>目的</w:t>
      </w:r>
      <w:r w:rsidRPr="00A3267D">
        <w:rPr>
          <w:rFonts w:asciiTheme="minorEastAsia" w:hAnsiTheme="minorEastAsia" w:cs="Times New Roman"/>
          <w:b/>
          <w:spacing w:val="-5"/>
          <w:szCs w:val="24"/>
          <w:lang w:eastAsia="zh-CN"/>
        </w:rPr>
        <w:t>和意义</w:t>
      </w:r>
    </w:p>
    <w:p w14:paraId="480C1CA1" w14:textId="30B788D8" w:rsidR="00BD4219" w:rsidRPr="00A3267D" w:rsidRDefault="00283707" w:rsidP="00924D51">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spacing w:val="-3"/>
          <w:szCs w:val="24"/>
          <w:lang w:eastAsia="zh-CN"/>
        </w:rPr>
        <w:t>水泥行业作为</w:t>
      </w:r>
      <w:r w:rsidR="00B118A6" w:rsidRPr="00A3267D">
        <w:rPr>
          <w:rFonts w:ascii="Times New Roman" w:eastAsia="宋体" w:hAnsi="Times New Roman" w:cs="Times New Roman"/>
          <w:spacing w:val="-3"/>
          <w:szCs w:val="24"/>
          <w:lang w:eastAsia="zh-CN"/>
        </w:rPr>
        <w:t>社会</w:t>
      </w:r>
      <w:r w:rsidR="004320E1" w:rsidRPr="00A3267D">
        <w:rPr>
          <w:rFonts w:ascii="Times New Roman" w:eastAsia="宋体" w:hAnsi="Times New Roman" w:cs="Times New Roman"/>
          <w:spacing w:val="-3"/>
          <w:szCs w:val="24"/>
          <w:lang w:eastAsia="zh-CN"/>
        </w:rPr>
        <w:t>发展的重要基石，</w:t>
      </w:r>
      <w:r w:rsidR="00937D31" w:rsidRPr="00A3267D">
        <w:rPr>
          <w:rFonts w:ascii="Times New Roman" w:eastAsia="宋体" w:hAnsi="Times New Roman" w:cs="Times New Roman"/>
          <w:spacing w:val="-3"/>
          <w:szCs w:val="24"/>
          <w:lang w:eastAsia="zh-CN"/>
        </w:rPr>
        <w:t>在我国国民经济发展中起到举足轻重的作用</w:t>
      </w:r>
      <w:r w:rsidR="00C6511B" w:rsidRPr="00A3267D">
        <w:rPr>
          <w:rFonts w:ascii="Times New Roman" w:eastAsia="宋体" w:hAnsi="Times New Roman" w:cs="Times New Roman"/>
          <w:spacing w:val="-3"/>
          <w:szCs w:val="24"/>
          <w:lang w:eastAsia="zh-CN"/>
        </w:rPr>
        <w:t>，但</w:t>
      </w:r>
      <w:r w:rsidR="0081126E" w:rsidRPr="00A3267D">
        <w:rPr>
          <w:rFonts w:ascii="Times New Roman" w:eastAsia="宋体" w:hAnsi="Times New Roman" w:cs="Times New Roman" w:hint="eastAsia"/>
          <w:spacing w:val="-3"/>
          <w:szCs w:val="24"/>
          <w:lang w:eastAsia="zh-CN"/>
        </w:rPr>
        <w:t>因</w:t>
      </w:r>
      <w:r w:rsidR="00C6511B" w:rsidRPr="00A3267D">
        <w:rPr>
          <w:rFonts w:ascii="Times New Roman" w:eastAsia="宋体" w:hAnsi="Times New Roman" w:cs="Times New Roman"/>
          <w:spacing w:val="-3"/>
          <w:szCs w:val="24"/>
          <w:lang w:eastAsia="zh-CN"/>
        </w:rPr>
        <w:t>其传统两高属性，成为节能降碳工作的重点行业之一。目前，</w:t>
      </w:r>
      <w:r w:rsidR="00A3388B" w:rsidRPr="00A3267D">
        <w:rPr>
          <w:rFonts w:ascii="Times New Roman" w:eastAsia="宋体" w:hAnsi="Times New Roman" w:cs="Times New Roman"/>
          <w:spacing w:val="-3"/>
          <w:szCs w:val="24"/>
          <w:lang w:eastAsia="zh-CN"/>
        </w:rPr>
        <w:t>水泥行业的碳排放占全球排放总量的约</w:t>
      </w:r>
      <w:r w:rsidR="00A3388B" w:rsidRPr="00A3267D">
        <w:rPr>
          <w:rFonts w:ascii="Times New Roman" w:eastAsia="宋体" w:hAnsi="Times New Roman" w:cs="Times New Roman"/>
          <w:spacing w:val="-3"/>
          <w:szCs w:val="24"/>
          <w:lang w:eastAsia="zh-CN"/>
        </w:rPr>
        <w:t>7%</w:t>
      </w:r>
      <w:r w:rsidR="00A3388B" w:rsidRPr="00A3267D">
        <w:rPr>
          <w:rFonts w:ascii="Times New Roman" w:eastAsia="宋体" w:hAnsi="Times New Roman" w:cs="Times New Roman"/>
          <w:spacing w:val="-3"/>
          <w:szCs w:val="24"/>
          <w:lang w:eastAsia="zh-CN"/>
        </w:rPr>
        <w:t>。</w:t>
      </w:r>
      <w:r w:rsidR="00A3388B" w:rsidRPr="00A3267D">
        <w:rPr>
          <w:rFonts w:ascii="Times New Roman" w:eastAsia="宋体" w:hAnsi="Times New Roman" w:cs="Times New Roman"/>
          <w:spacing w:val="-3"/>
          <w:szCs w:val="24"/>
          <w:lang w:eastAsia="zh-CN"/>
        </w:rPr>
        <w:t>2020</w:t>
      </w:r>
      <w:r w:rsidR="00A3388B" w:rsidRPr="00A3267D">
        <w:rPr>
          <w:rFonts w:ascii="Times New Roman" w:eastAsia="宋体" w:hAnsi="Times New Roman" w:cs="Times New Roman"/>
          <w:spacing w:val="-3"/>
          <w:szCs w:val="24"/>
          <w:lang w:eastAsia="zh-CN"/>
        </w:rPr>
        <w:t>年，中国水泥行业</w:t>
      </w:r>
      <w:r w:rsidR="00A3388B" w:rsidRPr="00A3267D">
        <w:rPr>
          <w:rFonts w:ascii="Times New Roman" w:eastAsia="宋体" w:hAnsi="Times New Roman" w:cs="Times New Roman"/>
          <w:spacing w:val="-3"/>
          <w:szCs w:val="24"/>
          <w:lang w:eastAsia="zh-CN"/>
        </w:rPr>
        <w:t>CO</w:t>
      </w:r>
      <w:r w:rsidR="00A3388B" w:rsidRPr="00A3267D">
        <w:rPr>
          <w:rFonts w:ascii="Times New Roman" w:eastAsia="宋体" w:hAnsi="Times New Roman" w:cs="Times New Roman"/>
          <w:spacing w:val="-3"/>
          <w:szCs w:val="24"/>
          <w:vertAlign w:val="subscript"/>
          <w:lang w:eastAsia="zh-CN"/>
        </w:rPr>
        <w:t>2</w:t>
      </w:r>
      <w:r w:rsidR="00A3388B" w:rsidRPr="00A3267D">
        <w:rPr>
          <w:rFonts w:ascii="Times New Roman" w:eastAsia="宋体" w:hAnsi="Times New Roman" w:cs="Times New Roman"/>
          <w:spacing w:val="-3"/>
          <w:szCs w:val="24"/>
          <w:lang w:eastAsia="zh-CN"/>
        </w:rPr>
        <w:t>排放量为</w:t>
      </w:r>
      <w:r w:rsidR="00A3388B" w:rsidRPr="00A3267D">
        <w:rPr>
          <w:rFonts w:ascii="Times New Roman" w:eastAsia="宋体" w:hAnsi="Times New Roman" w:cs="Times New Roman"/>
          <w:spacing w:val="-3"/>
          <w:szCs w:val="24"/>
          <w:lang w:eastAsia="zh-CN"/>
        </w:rPr>
        <w:t>13.7</w:t>
      </w:r>
      <w:r w:rsidR="00A3388B" w:rsidRPr="00A3267D">
        <w:rPr>
          <w:rFonts w:ascii="Times New Roman" w:eastAsia="宋体" w:hAnsi="Times New Roman" w:cs="Times New Roman"/>
          <w:spacing w:val="-3"/>
          <w:szCs w:val="24"/>
          <w:lang w:eastAsia="zh-CN"/>
        </w:rPr>
        <w:t>亿吨，占全国总碳排放的比例约</w:t>
      </w:r>
      <w:r w:rsidR="00A3388B" w:rsidRPr="00A3267D">
        <w:rPr>
          <w:rFonts w:ascii="Times New Roman" w:eastAsia="宋体" w:hAnsi="Times New Roman" w:cs="Times New Roman"/>
          <w:spacing w:val="-3"/>
          <w:szCs w:val="24"/>
          <w:lang w:eastAsia="zh-CN"/>
        </w:rPr>
        <w:t>13%</w:t>
      </w:r>
      <w:r w:rsidR="00A3388B" w:rsidRPr="00A3267D">
        <w:rPr>
          <w:rFonts w:ascii="Times New Roman" w:eastAsia="宋体" w:hAnsi="Times New Roman" w:cs="Times New Roman"/>
          <w:spacing w:val="-3"/>
          <w:szCs w:val="24"/>
          <w:lang w:eastAsia="zh-CN"/>
        </w:rPr>
        <w:t>，仅次于电力和钢铁行业。</w:t>
      </w:r>
    </w:p>
    <w:p w14:paraId="6DD2BFB6" w14:textId="2DCC49BD" w:rsidR="00B94C07" w:rsidRPr="00A3267D" w:rsidRDefault="000D5017" w:rsidP="000D5017">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hint="eastAsia"/>
          <w:spacing w:val="-3"/>
          <w:szCs w:val="24"/>
          <w:lang w:eastAsia="zh-CN"/>
        </w:rPr>
        <w:t>在全球碳达峰碳中和目标下，</w:t>
      </w:r>
      <w:r w:rsidR="00B94C07" w:rsidRPr="00A3267D">
        <w:rPr>
          <w:rFonts w:ascii="Times New Roman" w:eastAsia="宋体" w:hAnsi="Times New Roman" w:cs="Times New Roman" w:hint="eastAsia"/>
          <w:spacing w:val="-3"/>
          <w:szCs w:val="24"/>
          <w:lang w:eastAsia="zh-CN"/>
        </w:rPr>
        <w:t>国家层面</w:t>
      </w:r>
      <w:r w:rsidRPr="00A3267D">
        <w:rPr>
          <w:rFonts w:ascii="Times New Roman" w:eastAsia="宋体" w:hAnsi="Times New Roman" w:cs="Times New Roman" w:hint="eastAsia"/>
          <w:spacing w:val="-3"/>
          <w:szCs w:val="24"/>
          <w:lang w:eastAsia="zh-CN"/>
        </w:rPr>
        <w:t>也</w:t>
      </w:r>
      <w:r w:rsidR="00B94C07" w:rsidRPr="00A3267D">
        <w:rPr>
          <w:rFonts w:ascii="Times New Roman" w:eastAsia="宋体" w:hAnsi="Times New Roman" w:cs="Times New Roman" w:hint="eastAsia"/>
          <w:spacing w:val="-3"/>
          <w:szCs w:val="24"/>
          <w:lang w:eastAsia="zh-CN"/>
        </w:rPr>
        <w:t>出台了一系列政策标准以支撑各行业向碳达峰碳中和目标迈进。根据《中共中央</w:t>
      </w:r>
      <w:r w:rsidR="00B94C07" w:rsidRPr="00A3267D">
        <w:rPr>
          <w:rFonts w:ascii="Times New Roman" w:eastAsia="宋体" w:hAnsi="Times New Roman" w:cs="Times New Roman" w:hint="eastAsia"/>
          <w:spacing w:val="-3"/>
          <w:szCs w:val="24"/>
          <w:lang w:eastAsia="zh-CN"/>
        </w:rPr>
        <w:t xml:space="preserve"> </w:t>
      </w:r>
      <w:r w:rsidR="00B94C07" w:rsidRPr="00A3267D">
        <w:rPr>
          <w:rFonts w:ascii="Times New Roman" w:eastAsia="宋体" w:hAnsi="Times New Roman" w:cs="Times New Roman" w:hint="eastAsia"/>
          <w:spacing w:val="-3"/>
          <w:szCs w:val="24"/>
          <w:lang w:eastAsia="zh-CN"/>
        </w:rPr>
        <w:t>国务院关于完整准确全面贯彻新发展理念做好碳达峰碳中和工作的意见》</w:t>
      </w:r>
      <w:r w:rsidR="0075021F" w:rsidRPr="00A3267D">
        <w:rPr>
          <w:rFonts w:ascii="Times New Roman" w:eastAsia="宋体" w:hAnsi="Times New Roman" w:cs="Times New Roman" w:hint="eastAsia"/>
          <w:spacing w:val="-3"/>
          <w:szCs w:val="24"/>
          <w:lang w:eastAsia="zh-CN"/>
        </w:rPr>
        <w:t>（中发〔</w:t>
      </w:r>
      <w:r w:rsidR="0075021F" w:rsidRPr="00A3267D">
        <w:rPr>
          <w:rFonts w:ascii="Times New Roman" w:eastAsia="宋体" w:hAnsi="Times New Roman" w:cs="Times New Roman" w:hint="eastAsia"/>
          <w:spacing w:val="-3"/>
          <w:szCs w:val="24"/>
          <w:lang w:eastAsia="zh-CN"/>
        </w:rPr>
        <w:t>2021</w:t>
      </w:r>
      <w:r w:rsidR="0075021F" w:rsidRPr="00A3267D">
        <w:rPr>
          <w:rFonts w:ascii="Times New Roman" w:eastAsia="宋体" w:hAnsi="Times New Roman" w:cs="Times New Roman" w:hint="eastAsia"/>
          <w:spacing w:val="-3"/>
          <w:szCs w:val="24"/>
          <w:lang w:eastAsia="zh-CN"/>
        </w:rPr>
        <w:t>〕</w:t>
      </w:r>
      <w:r w:rsidR="0075021F" w:rsidRPr="00A3267D">
        <w:rPr>
          <w:rFonts w:ascii="Times New Roman" w:eastAsia="宋体" w:hAnsi="Times New Roman" w:cs="Times New Roman" w:hint="eastAsia"/>
          <w:spacing w:val="-3"/>
          <w:szCs w:val="24"/>
          <w:lang w:eastAsia="zh-CN"/>
        </w:rPr>
        <w:t>36</w:t>
      </w:r>
      <w:r w:rsidR="0075021F" w:rsidRPr="00A3267D">
        <w:rPr>
          <w:rFonts w:ascii="Times New Roman" w:eastAsia="宋体" w:hAnsi="Times New Roman" w:cs="Times New Roman" w:hint="eastAsia"/>
          <w:spacing w:val="-3"/>
          <w:szCs w:val="24"/>
          <w:lang w:eastAsia="zh-CN"/>
        </w:rPr>
        <w:t>号文）</w:t>
      </w:r>
      <w:r w:rsidR="00B94C07" w:rsidRPr="00A3267D">
        <w:rPr>
          <w:rFonts w:ascii="Times New Roman" w:eastAsia="宋体" w:hAnsi="Times New Roman" w:cs="Times New Roman" w:hint="eastAsia"/>
          <w:spacing w:val="-3"/>
          <w:szCs w:val="24"/>
          <w:lang w:eastAsia="zh-CN"/>
        </w:rPr>
        <w:t>、《</w:t>
      </w:r>
      <w:r w:rsidR="00B94C07" w:rsidRPr="00A3267D">
        <w:rPr>
          <w:rFonts w:ascii="Times New Roman" w:eastAsia="宋体" w:hAnsi="Times New Roman" w:cs="Times New Roman" w:hint="eastAsia"/>
          <w:spacing w:val="-3"/>
          <w:szCs w:val="24"/>
          <w:lang w:eastAsia="zh-CN"/>
        </w:rPr>
        <w:t>2030</w:t>
      </w:r>
      <w:r w:rsidR="00B94C07" w:rsidRPr="00A3267D">
        <w:rPr>
          <w:rFonts w:ascii="Times New Roman" w:eastAsia="宋体" w:hAnsi="Times New Roman" w:cs="Times New Roman" w:hint="eastAsia"/>
          <w:spacing w:val="-3"/>
          <w:szCs w:val="24"/>
          <w:lang w:eastAsia="zh-CN"/>
        </w:rPr>
        <w:t>年前碳达峰行动方案》、《关于印发建立健全碳达峰碳中和标准计量体系实施方案的通知》（国市监计量发〔</w:t>
      </w:r>
      <w:r w:rsidR="00B94C07" w:rsidRPr="00A3267D">
        <w:rPr>
          <w:rFonts w:ascii="Times New Roman" w:eastAsia="宋体" w:hAnsi="Times New Roman" w:cs="Times New Roman" w:hint="eastAsia"/>
          <w:spacing w:val="-3"/>
          <w:szCs w:val="24"/>
          <w:lang w:eastAsia="zh-CN"/>
        </w:rPr>
        <w:t>2022</w:t>
      </w:r>
      <w:r w:rsidR="00B94C07" w:rsidRPr="00A3267D">
        <w:rPr>
          <w:rFonts w:ascii="Times New Roman" w:eastAsia="宋体" w:hAnsi="Times New Roman" w:cs="Times New Roman" w:hint="eastAsia"/>
          <w:spacing w:val="-3"/>
          <w:szCs w:val="24"/>
          <w:lang w:eastAsia="zh-CN"/>
        </w:rPr>
        <w:t>〕</w:t>
      </w:r>
      <w:r w:rsidR="00B94C07" w:rsidRPr="00A3267D">
        <w:rPr>
          <w:rFonts w:ascii="Times New Roman" w:eastAsia="宋体" w:hAnsi="Times New Roman" w:cs="Times New Roman" w:hint="eastAsia"/>
          <w:spacing w:val="-3"/>
          <w:szCs w:val="24"/>
          <w:lang w:eastAsia="zh-CN"/>
        </w:rPr>
        <w:t>92</w:t>
      </w:r>
      <w:r w:rsidR="00B94C07" w:rsidRPr="00A3267D">
        <w:rPr>
          <w:rFonts w:ascii="Times New Roman" w:eastAsia="宋体" w:hAnsi="Times New Roman" w:cs="Times New Roman" w:hint="eastAsia"/>
          <w:spacing w:val="-3"/>
          <w:szCs w:val="24"/>
          <w:lang w:eastAsia="zh-CN"/>
        </w:rPr>
        <w:t>号）、《关于进一步强化碳达峰碳中和标准计量体系建设行动方案（</w:t>
      </w:r>
      <w:r w:rsidR="00B94C07" w:rsidRPr="00A3267D">
        <w:rPr>
          <w:rFonts w:ascii="Times New Roman" w:eastAsia="宋体" w:hAnsi="Times New Roman" w:cs="Times New Roman" w:hint="eastAsia"/>
          <w:spacing w:val="-3"/>
          <w:szCs w:val="24"/>
          <w:lang w:eastAsia="zh-CN"/>
        </w:rPr>
        <w:t>2024-2025</w:t>
      </w:r>
      <w:r w:rsidR="00B94C07" w:rsidRPr="00A3267D">
        <w:rPr>
          <w:rFonts w:ascii="Times New Roman" w:eastAsia="宋体" w:hAnsi="Times New Roman" w:cs="Times New Roman" w:hint="eastAsia"/>
          <w:spacing w:val="-3"/>
          <w:szCs w:val="24"/>
          <w:lang w:eastAsia="zh-CN"/>
        </w:rPr>
        <w:t>年）》、《科技支撑碳达峰碳中和实施方案（</w:t>
      </w:r>
      <w:r w:rsidR="00B94C07" w:rsidRPr="00A3267D">
        <w:rPr>
          <w:rFonts w:ascii="Times New Roman" w:eastAsia="宋体" w:hAnsi="Times New Roman" w:cs="Times New Roman" w:hint="eastAsia"/>
          <w:spacing w:val="-3"/>
          <w:szCs w:val="24"/>
          <w:lang w:eastAsia="zh-CN"/>
        </w:rPr>
        <w:t>2022-2030</w:t>
      </w:r>
      <w:r w:rsidR="00B94C07" w:rsidRPr="00A3267D">
        <w:rPr>
          <w:rFonts w:ascii="Times New Roman" w:eastAsia="宋体" w:hAnsi="Times New Roman" w:cs="Times New Roman" w:hint="eastAsia"/>
          <w:spacing w:val="-3"/>
          <w:szCs w:val="24"/>
          <w:lang w:eastAsia="zh-CN"/>
        </w:rPr>
        <w:t>年）》等文件精神要求“加强科技创新对碳排放监测、计量、核查、核算、认证、评估、监管以及碳汇的技术体系和标准体系建设的支撑保障”，重点行业计量水平提升的是提高我国碳排放数据质量的重要保障和迫切要求。</w:t>
      </w:r>
    </w:p>
    <w:p w14:paraId="4911AD24" w14:textId="0EBC0A83" w:rsidR="00B94C07" w:rsidRPr="00A3267D" w:rsidRDefault="00B94C07" w:rsidP="00865EE9">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hint="eastAsia"/>
          <w:spacing w:val="-3"/>
          <w:szCs w:val="24"/>
          <w:lang w:eastAsia="zh-CN"/>
        </w:rPr>
        <w:t>控制碳排放势必需要提高碳数据质量，国家在政策层面也对碳数据质量提出了相应的要求：《关于做好</w:t>
      </w:r>
      <w:r w:rsidRPr="00A3267D">
        <w:rPr>
          <w:rFonts w:ascii="Times New Roman" w:eastAsia="宋体" w:hAnsi="Times New Roman" w:cs="Times New Roman" w:hint="eastAsia"/>
          <w:spacing w:val="-3"/>
          <w:szCs w:val="24"/>
          <w:lang w:eastAsia="zh-CN"/>
        </w:rPr>
        <w:t>2025</w:t>
      </w:r>
      <w:r w:rsidRPr="00A3267D">
        <w:rPr>
          <w:rFonts w:ascii="Times New Roman" w:eastAsia="宋体" w:hAnsi="Times New Roman" w:cs="Times New Roman" w:hint="eastAsia"/>
          <w:spacing w:val="-3"/>
          <w:szCs w:val="24"/>
          <w:lang w:eastAsia="zh-CN"/>
        </w:rPr>
        <w:t>年全国碳排放权交易市场有关工作的通知》（环办气候函〔</w:t>
      </w:r>
      <w:r w:rsidRPr="00A3267D">
        <w:rPr>
          <w:rFonts w:ascii="Times New Roman" w:eastAsia="宋体" w:hAnsi="Times New Roman" w:cs="Times New Roman" w:hint="eastAsia"/>
          <w:spacing w:val="-3"/>
          <w:szCs w:val="24"/>
          <w:lang w:eastAsia="zh-CN"/>
        </w:rPr>
        <w:t>2025</w:t>
      </w:r>
      <w:r w:rsidRPr="00A3267D">
        <w:rPr>
          <w:rFonts w:ascii="Times New Roman" w:eastAsia="宋体" w:hAnsi="Times New Roman" w:cs="Times New Roman" w:hint="eastAsia"/>
          <w:spacing w:val="-3"/>
          <w:szCs w:val="24"/>
          <w:lang w:eastAsia="zh-CN"/>
        </w:rPr>
        <w:t>〕</w:t>
      </w:r>
      <w:r w:rsidRPr="00A3267D">
        <w:rPr>
          <w:rFonts w:ascii="Times New Roman" w:eastAsia="宋体" w:hAnsi="Times New Roman" w:cs="Times New Roman" w:hint="eastAsia"/>
          <w:spacing w:val="-3"/>
          <w:szCs w:val="24"/>
          <w:lang w:eastAsia="zh-CN"/>
        </w:rPr>
        <w:t>140</w:t>
      </w:r>
      <w:r w:rsidRPr="00A3267D">
        <w:rPr>
          <w:rFonts w:ascii="Times New Roman" w:eastAsia="宋体" w:hAnsi="Times New Roman" w:cs="Times New Roman" w:hint="eastAsia"/>
          <w:spacing w:val="-3"/>
          <w:szCs w:val="24"/>
          <w:lang w:eastAsia="zh-CN"/>
        </w:rPr>
        <w:t>号）要求“加强碳排放数据质量管理；制定数据质量控制方案；开展碳排放统计核算数据月度信息化存证等”。《碳排放权交易管理暂行条例》（国令第</w:t>
      </w:r>
      <w:r w:rsidRPr="00A3267D">
        <w:rPr>
          <w:rFonts w:ascii="Times New Roman" w:eastAsia="宋体" w:hAnsi="Times New Roman" w:cs="Times New Roman" w:hint="eastAsia"/>
          <w:spacing w:val="-3"/>
          <w:szCs w:val="24"/>
          <w:lang w:eastAsia="zh-CN"/>
        </w:rPr>
        <w:t>775</w:t>
      </w:r>
      <w:r w:rsidRPr="00A3267D">
        <w:rPr>
          <w:rFonts w:ascii="Times New Roman" w:eastAsia="宋体" w:hAnsi="Times New Roman" w:cs="Times New Roman" w:hint="eastAsia"/>
          <w:spacing w:val="-3"/>
          <w:szCs w:val="24"/>
          <w:lang w:eastAsia="zh-CN"/>
        </w:rPr>
        <w:t>号）指出“重点排放单位应当制定并严格执行温室气体</w:t>
      </w:r>
      <w:r w:rsidRPr="00A3267D">
        <w:rPr>
          <w:rFonts w:ascii="Times New Roman" w:eastAsia="宋体" w:hAnsi="Times New Roman" w:cs="Times New Roman" w:hint="eastAsia"/>
          <w:spacing w:val="-3"/>
          <w:szCs w:val="24"/>
          <w:lang w:eastAsia="zh-CN"/>
        </w:rPr>
        <w:lastRenderedPageBreak/>
        <w:t>排放数据质量控制方案，使用依法经计量检定合格或者校准的计量器具开展温室气体排放相关检验检测”。水泥行业作为碳排放控制的重点领域，其碳数据质量</w:t>
      </w:r>
      <w:r w:rsidR="008636AE" w:rsidRPr="00A3267D">
        <w:rPr>
          <w:rFonts w:ascii="Times New Roman" w:eastAsia="宋体" w:hAnsi="Times New Roman" w:cs="Times New Roman" w:hint="eastAsia"/>
          <w:spacing w:val="-3"/>
          <w:szCs w:val="24"/>
          <w:lang w:eastAsia="zh-CN"/>
        </w:rPr>
        <w:t>管理</w:t>
      </w:r>
      <w:r w:rsidRPr="00A3267D">
        <w:rPr>
          <w:rFonts w:ascii="Times New Roman" w:eastAsia="宋体" w:hAnsi="Times New Roman" w:cs="Times New Roman" w:hint="eastAsia"/>
          <w:spacing w:val="-3"/>
          <w:szCs w:val="24"/>
          <w:lang w:eastAsia="zh-CN"/>
        </w:rPr>
        <w:t>尤为重要，通过探究碳排放量不确定度评定能明确主要数据参数对整体系统准确性的影响，为水泥企业提高碳排放数据质量管理提供依据。</w:t>
      </w:r>
    </w:p>
    <w:p w14:paraId="30CC5A94" w14:textId="23447A1A" w:rsidR="00D20A16" w:rsidRPr="00A3267D" w:rsidRDefault="00B94C07" w:rsidP="00865EE9">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hint="eastAsia"/>
          <w:spacing w:val="-3"/>
          <w:szCs w:val="24"/>
          <w:lang w:eastAsia="zh-CN"/>
        </w:rPr>
        <w:t>目前，水泥行业主要的碳排放量计量方式主要有</w:t>
      </w:r>
      <w:r w:rsidR="000D3B48" w:rsidRPr="00A3267D">
        <w:rPr>
          <w:rFonts w:ascii="Times New Roman" w:eastAsia="宋体" w:hAnsi="Times New Roman" w:cs="Times New Roman" w:hint="eastAsia"/>
          <w:spacing w:val="-3"/>
          <w:szCs w:val="24"/>
          <w:lang w:eastAsia="zh-CN"/>
        </w:rPr>
        <w:t>标准计算</w:t>
      </w:r>
      <w:r w:rsidR="00BE7A53" w:rsidRPr="00A3267D">
        <w:rPr>
          <w:rFonts w:ascii="Times New Roman" w:eastAsia="宋体" w:hAnsi="Times New Roman" w:cs="Times New Roman" w:hint="eastAsia"/>
          <w:spacing w:val="-3"/>
          <w:szCs w:val="24"/>
          <w:lang w:eastAsia="zh-CN"/>
        </w:rPr>
        <w:t>法（核算法）</w:t>
      </w:r>
      <w:r w:rsidR="00312AB0" w:rsidRPr="00A3267D">
        <w:rPr>
          <w:rFonts w:ascii="Times New Roman" w:eastAsia="宋体" w:hAnsi="Times New Roman" w:cs="Times New Roman" w:hint="eastAsia"/>
          <w:spacing w:val="-3"/>
          <w:szCs w:val="24"/>
          <w:lang w:eastAsia="zh-CN"/>
        </w:rPr>
        <w:t>和</w:t>
      </w:r>
      <w:r w:rsidRPr="00A3267D">
        <w:rPr>
          <w:rFonts w:ascii="Times New Roman" w:eastAsia="宋体" w:hAnsi="Times New Roman" w:cs="Times New Roman" w:hint="eastAsia"/>
          <w:spacing w:val="-3"/>
          <w:szCs w:val="24"/>
          <w:lang w:eastAsia="zh-CN"/>
        </w:rPr>
        <w:t>基于在线</w:t>
      </w:r>
      <w:r w:rsidRPr="00A3267D">
        <w:rPr>
          <w:rFonts w:ascii="Times New Roman" w:eastAsia="宋体" w:hAnsi="Times New Roman" w:cs="Times New Roman" w:hint="eastAsia"/>
          <w:spacing w:val="-3"/>
          <w:szCs w:val="24"/>
          <w:lang w:eastAsia="zh-CN"/>
        </w:rPr>
        <w:t>CEMS</w:t>
      </w:r>
      <w:r w:rsidR="005055F1" w:rsidRPr="00A3267D">
        <w:rPr>
          <w:rFonts w:ascii="Times New Roman" w:eastAsia="宋体" w:hAnsi="Times New Roman" w:cs="Times New Roman" w:hint="eastAsia"/>
          <w:spacing w:val="-3"/>
          <w:szCs w:val="24"/>
          <w:lang w:eastAsia="zh-CN"/>
        </w:rPr>
        <w:t>的直测法两类。</w:t>
      </w:r>
      <w:r w:rsidR="00F564A1" w:rsidRPr="00A3267D">
        <w:rPr>
          <w:rFonts w:ascii="Times New Roman" w:eastAsia="宋体" w:hAnsi="Times New Roman" w:cs="Times New Roman" w:hint="eastAsia"/>
          <w:spacing w:val="-3"/>
          <w:szCs w:val="24"/>
          <w:lang w:eastAsia="zh-CN"/>
        </w:rPr>
        <w:t>水泥行业</w:t>
      </w:r>
      <w:r w:rsidR="00A23A89" w:rsidRPr="00A3267D">
        <w:rPr>
          <w:rFonts w:ascii="Times New Roman" w:eastAsia="宋体" w:hAnsi="Times New Roman" w:cs="Times New Roman" w:hint="eastAsia"/>
          <w:spacing w:val="-3"/>
          <w:szCs w:val="24"/>
          <w:lang w:eastAsia="zh-CN"/>
        </w:rPr>
        <w:t>基于标准计算法（核算法）</w:t>
      </w:r>
      <w:r w:rsidRPr="00A3267D">
        <w:rPr>
          <w:rFonts w:ascii="Times New Roman" w:eastAsia="宋体" w:hAnsi="Times New Roman" w:cs="Times New Roman" w:hint="eastAsia"/>
          <w:spacing w:val="-3"/>
          <w:szCs w:val="24"/>
          <w:lang w:eastAsia="zh-CN"/>
        </w:rPr>
        <w:t>目前主要以《碳排放核算与报告要求第</w:t>
      </w:r>
      <w:r w:rsidRPr="00A3267D">
        <w:rPr>
          <w:rFonts w:ascii="Times New Roman" w:eastAsia="宋体" w:hAnsi="Times New Roman" w:cs="Times New Roman" w:hint="eastAsia"/>
          <w:spacing w:val="-3"/>
          <w:szCs w:val="24"/>
          <w:lang w:eastAsia="zh-CN"/>
        </w:rPr>
        <w:t>8</w:t>
      </w:r>
      <w:r w:rsidRPr="00A3267D">
        <w:rPr>
          <w:rFonts w:ascii="Times New Roman" w:eastAsia="宋体" w:hAnsi="Times New Roman" w:cs="Times New Roman" w:hint="eastAsia"/>
          <w:spacing w:val="-3"/>
          <w:szCs w:val="24"/>
          <w:lang w:eastAsia="zh-CN"/>
        </w:rPr>
        <w:t>部分：水泥生产企业》（</w:t>
      </w:r>
      <w:r w:rsidRPr="00A3267D">
        <w:rPr>
          <w:rFonts w:ascii="Times New Roman" w:eastAsia="宋体" w:hAnsi="Times New Roman" w:cs="Times New Roman" w:hint="eastAsia"/>
          <w:spacing w:val="-3"/>
          <w:szCs w:val="24"/>
          <w:lang w:eastAsia="zh-CN"/>
        </w:rPr>
        <w:t>GB/T 32151.8</w:t>
      </w:r>
      <w:r w:rsidRPr="00A3267D">
        <w:rPr>
          <w:rFonts w:ascii="Times New Roman" w:eastAsia="宋体" w:hAnsi="Times New Roman" w:cs="Times New Roman" w:hint="eastAsia"/>
          <w:spacing w:val="-3"/>
          <w:szCs w:val="24"/>
          <w:lang w:eastAsia="zh-CN"/>
        </w:rPr>
        <w:t>—</w:t>
      </w:r>
      <w:r w:rsidRPr="00A3267D">
        <w:rPr>
          <w:rFonts w:ascii="Times New Roman" w:eastAsia="宋体" w:hAnsi="Times New Roman" w:cs="Times New Roman" w:hint="eastAsia"/>
          <w:spacing w:val="-3"/>
          <w:szCs w:val="24"/>
          <w:lang w:eastAsia="zh-CN"/>
        </w:rPr>
        <w:t>2023</w:t>
      </w:r>
      <w:r w:rsidRPr="00A3267D">
        <w:rPr>
          <w:rFonts w:ascii="Times New Roman" w:eastAsia="宋体" w:hAnsi="Times New Roman" w:cs="Times New Roman" w:hint="eastAsia"/>
          <w:spacing w:val="-3"/>
          <w:szCs w:val="24"/>
          <w:lang w:eastAsia="zh-CN"/>
        </w:rPr>
        <w:t>）、《企业温室气体排放核算与报告指南</w:t>
      </w:r>
      <w:r w:rsidRPr="00A3267D">
        <w:rPr>
          <w:rFonts w:ascii="Times New Roman" w:eastAsia="宋体" w:hAnsi="Times New Roman" w:cs="Times New Roman" w:hint="eastAsia"/>
          <w:spacing w:val="-3"/>
          <w:szCs w:val="24"/>
          <w:lang w:eastAsia="zh-CN"/>
        </w:rPr>
        <w:t xml:space="preserve"> </w:t>
      </w:r>
      <w:r w:rsidRPr="00A3267D">
        <w:rPr>
          <w:rFonts w:ascii="Times New Roman" w:eastAsia="宋体" w:hAnsi="Times New Roman" w:cs="Times New Roman" w:hint="eastAsia"/>
          <w:spacing w:val="-3"/>
          <w:szCs w:val="24"/>
          <w:lang w:eastAsia="zh-CN"/>
        </w:rPr>
        <w:t>水泥行业》（</w:t>
      </w:r>
      <w:r w:rsidRPr="00A3267D">
        <w:rPr>
          <w:rFonts w:ascii="Times New Roman" w:eastAsia="宋体" w:hAnsi="Times New Roman" w:cs="Times New Roman" w:hint="eastAsia"/>
          <w:spacing w:val="-3"/>
          <w:szCs w:val="24"/>
          <w:lang w:eastAsia="zh-CN"/>
        </w:rPr>
        <w:t>CETS-AG-02.01-V01-2024</w:t>
      </w:r>
      <w:r w:rsidRPr="00A3267D">
        <w:rPr>
          <w:rFonts w:ascii="Times New Roman" w:eastAsia="宋体" w:hAnsi="Times New Roman" w:cs="Times New Roman" w:hint="eastAsia"/>
          <w:spacing w:val="-3"/>
          <w:szCs w:val="24"/>
          <w:lang w:eastAsia="zh-CN"/>
        </w:rPr>
        <w:t>）为依据，</w:t>
      </w:r>
      <w:r w:rsidR="00F564A1" w:rsidRPr="00A3267D">
        <w:rPr>
          <w:rFonts w:ascii="Times New Roman" w:eastAsia="宋体" w:hAnsi="Times New Roman" w:cs="Times New Roman" w:hint="eastAsia"/>
          <w:spacing w:val="-3"/>
          <w:szCs w:val="24"/>
          <w:lang w:eastAsia="zh-CN"/>
        </w:rPr>
        <w:t>水泥行业二氧化碳</w:t>
      </w:r>
      <w:r w:rsidR="00B845E4" w:rsidRPr="00A3267D">
        <w:rPr>
          <w:rFonts w:ascii="Times New Roman" w:eastAsia="宋体" w:hAnsi="Times New Roman" w:cs="Times New Roman" w:hint="eastAsia"/>
          <w:spacing w:val="-3"/>
          <w:szCs w:val="24"/>
          <w:lang w:eastAsia="zh-CN"/>
        </w:rPr>
        <w:t>直测法</w:t>
      </w:r>
      <w:r w:rsidRPr="00A3267D">
        <w:rPr>
          <w:rFonts w:ascii="Times New Roman" w:eastAsia="宋体" w:hAnsi="Times New Roman" w:cs="Times New Roman" w:hint="eastAsia"/>
          <w:spacing w:val="-3"/>
          <w:szCs w:val="24"/>
          <w:lang w:eastAsia="zh-CN"/>
        </w:rPr>
        <w:t>主要以《建材行业固定源二氧化碳排放在线监测技术要求》（送审稿）和《建材行业二氧化碳在线监测系统校准规范》</w:t>
      </w:r>
      <w:r w:rsidR="009D67B9" w:rsidRPr="00A3267D">
        <w:rPr>
          <w:rFonts w:ascii="Times New Roman" w:eastAsia="宋体" w:hAnsi="Times New Roman" w:cs="Times New Roman" w:hint="eastAsia"/>
          <w:spacing w:val="-3"/>
          <w:szCs w:val="24"/>
          <w:lang w:eastAsia="zh-CN"/>
        </w:rPr>
        <w:t>（</w:t>
      </w:r>
      <w:r w:rsidR="009D67B9" w:rsidRPr="00A3267D">
        <w:rPr>
          <w:rFonts w:ascii="Times New Roman" w:eastAsia="宋体" w:hAnsi="Times New Roman" w:cs="Times New Roman" w:hint="eastAsia"/>
          <w:spacing w:val="-3"/>
          <w:szCs w:val="24"/>
          <w:lang w:eastAsia="zh-CN"/>
        </w:rPr>
        <w:t>JJF</w:t>
      </w:r>
      <w:r w:rsidR="009D67B9" w:rsidRPr="00A3267D">
        <w:rPr>
          <w:rFonts w:ascii="Times New Roman" w:eastAsia="宋体" w:hAnsi="Times New Roman" w:cs="Times New Roman" w:hint="eastAsia"/>
          <w:spacing w:val="-3"/>
          <w:szCs w:val="24"/>
          <w:lang w:eastAsia="zh-CN"/>
        </w:rPr>
        <w:t>（建材）</w:t>
      </w:r>
      <w:r w:rsidR="009D67B9" w:rsidRPr="00A3267D">
        <w:rPr>
          <w:rFonts w:ascii="Times New Roman" w:eastAsia="宋体" w:hAnsi="Times New Roman" w:cs="Times New Roman" w:hint="eastAsia"/>
          <w:spacing w:val="-3"/>
          <w:szCs w:val="24"/>
          <w:lang w:eastAsia="zh-CN"/>
        </w:rPr>
        <w:t>216-2024</w:t>
      </w:r>
      <w:r w:rsidR="009D67B9" w:rsidRPr="00A3267D">
        <w:rPr>
          <w:rFonts w:ascii="Times New Roman" w:eastAsia="宋体" w:hAnsi="Times New Roman" w:cs="Times New Roman" w:hint="eastAsia"/>
          <w:spacing w:val="-3"/>
          <w:szCs w:val="24"/>
          <w:lang w:eastAsia="zh-CN"/>
        </w:rPr>
        <w:t>）</w:t>
      </w:r>
      <w:r w:rsidRPr="00A3267D">
        <w:rPr>
          <w:rFonts w:ascii="Times New Roman" w:eastAsia="宋体" w:hAnsi="Times New Roman" w:cs="Times New Roman" w:hint="eastAsia"/>
          <w:spacing w:val="-3"/>
          <w:szCs w:val="24"/>
          <w:lang w:eastAsia="zh-CN"/>
        </w:rPr>
        <w:t>为基础</w:t>
      </w:r>
      <w:r w:rsidR="00F564A1" w:rsidRPr="00A3267D">
        <w:rPr>
          <w:rFonts w:ascii="Times New Roman" w:eastAsia="宋体" w:hAnsi="Times New Roman" w:cs="Times New Roman" w:hint="eastAsia"/>
          <w:spacing w:val="-3"/>
          <w:szCs w:val="24"/>
          <w:lang w:eastAsia="zh-CN"/>
        </w:rPr>
        <w:t>。</w:t>
      </w:r>
      <w:r w:rsidRPr="00A3267D">
        <w:rPr>
          <w:rFonts w:ascii="Times New Roman" w:eastAsia="宋体" w:hAnsi="Times New Roman" w:cs="Times New Roman" w:hint="eastAsia"/>
          <w:spacing w:val="-3"/>
          <w:szCs w:val="24"/>
          <w:lang w:eastAsia="zh-CN"/>
        </w:rPr>
        <w:t>通过对两种方法的不确定度评定，识别和量化在获取碳排放量中可能存在的误差来源，有针对性的提高对应数据准确性，以夯实碳排放数据质量基础，支撑水泥行业碳达峰、碳中和目标的实现。</w:t>
      </w:r>
    </w:p>
    <w:p w14:paraId="584E5328" w14:textId="3560BE4D" w:rsidR="00DC0F46" w:rsidRPr="00A3267D" w:rsidRDefault="00DE0E7D" w:rsidP="00865EE9">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hint="eastAsia"/>
          <w:spacing w:val="-3"/>
          <w:szCs w:val="24"/>
          <w:lang w:eastAsia="zh-CN"/>
        </w:rPr>
        <w:t>目前，</w:t>
      </w:r>
      <w:r w:rsidR="00D20A16" w:rsidRPr="00A3267D">
        <w:rPr>
          <w:rFonts w:ascii="Times New Roman" w:eastAsia="宋体" w:hAnsi="Times New Roman" w:cs="Times New Roman" w:hint="eastAsia"/>
          <w:spacing w:val="-3"/>
          <w:szCs w:val="24"/>
          <w:lang w:eastAsia="zh-CN"/>
        </w:rPr>
        <w:t>国际上对于碳数据不确定度的评定依据</w:t>
      </w:r>
      <w:r w:rsidRPr="00A3267D">
        <w:rPr>
          <w:rFonts w:ascii="Times New Roman" w:eastAsia="宋体" w:hAnsi="Times New Roman" w:cs="Times New Roman" w:hint="eastAsia"/>
          <w:spacing w:val="-3"/>
          <w:szCs w:val="24"/>
          <w:lang w:eastAsia="zh-CN"/>
        </w:rPr>
        <w:t>主要有</w:t>
      </w:r>
      <w:r w:rsidR="00D20A16" w:rsidRPr="00A3267D">
        <w:rPr>
          <w:rFonts w:ascii="Times New Roman" w:eastAsia="宋体" w:hAnsi="Times New Roman" w:cs="Times New Roman" w:hint="eastAsia"/>
          <w:spacing w:val="-3"/>
          <w:szCs w:val="24"/>
          <w:lang w:eastAsia="zh-CN"/>
        </w:rPr>
        <w:t>《</w:t>
      </w:r>
      <w:r w:rsidR="00D20A16" w:rsidRPr="00A3267D">
        <w:rPr>
          <w:rFonts w:ascii="Times New Roman" w:eastAsia="宋体" w:hAnsi="Times New Roman" w:cs="Times New Roman" w:hint="eastAsia"/>
          <w:spacing w:val="-3"/>
          <w:szCs w:val="24"/>
          <w:lang w:eastAsia="zh-CN"/>
        </w:rPr>
        <w:t xml:space="preserve">ISO 14064-1:2018 </w:t>
      </w:r>
      <w:r w:rsidR="00D20A16" w:rsidRPr="00A3267D">
        <w:rPr>
          <w:rFonts w:ascii="Times New Roman" w:eastAsia="宋体" w:hAnsi="Times New Roman" w:cs="Times New Roman" w:hint="eastAsia"/>
          <w:spacing w:val="-3"/>
          <w:szCs w:val="24"/>
          <w:lang w:eastAsia="zh-CN"/>
        </w:rPr>
        <w:t>温室气体</w:t>
      </w:r>
      <w:r w:rsidR="00D20A16" w:rsidRPr="00A3267D">
        <w:rPr>
          <w:rFonts w:ascii="Times New Roman" w:eastAsia="宋体" w:hAnsi="Times New Roman" w:cs="Times New Roman" w:hint="eastAsia"/>
          <w:spacing w:val="-3"/>
          <w:szCs w:val="24"/>
          <w:lang w:eastAsia="zh-CN"/>
        </w:rPr>
        <w:t xml:space="preserve"> </w:t>
      </w:r>
      <w:r w:rsidR="00D20A16" w:rsidRPr="00A3267D">
        <w:rPr>
          <w:rFonts w:ascii="Times New Roman" w:eastAsia="宋体" w:hAnsi="Times New Roman" w:cs="Times New Roman" w:hint="eastAsia"/>
          <w:spacing w:val="-3"/>
          <w:szCs w:val="24"/>
          <w:lang w:eastAsia="zh-CN"/>
        </w:rPr>
        <w:t>第一部分：组织层次上对温室气体排放和清除的量化和报告的规范及指南》</w:t>
      </w:r>
      <w:r w:rsidRPr="00A3267D">
        <w:rPr>
          <w:rFonts w:ascii="Times New Roman" w:eastAsia="宋体" w:hAnsi="Times New Roman" w:cs="Times New Roman" w:hint="eastAsia"/>
          <w:spacing w:val="-3"/>
          <w:szCs w:val="24"/>
          <w:lang w:eastAsia="zh-CN"/>
        </w:rPr>
        <w:t>和</w:t>
      </w:r>
      <w:r w:rsidRPr="00A3267D">
        <w:rPr>
          <w:rFonts w:ascii="宋体" w:eastAsia="宋体" w:hAnsi="宋体" w:cs="宋体" w:hint="eastAsia"/>
          <w:spacing w:val="-3"/>
          <w:szCs w:val="24"/>
          <w:lang w:eastAsia="zh-CN"/>
        </w:rPr>
        <w:t>《IPCC国家温室气体清单指南》（2006年版及2019修订版），</w:t>
      </w:r>
      <w:r w:rsidRPr="00A3267D">
        <w:rPr>
          <w:rFonts w:ascii="Times New Roman" w:eastAsia="宋体" w:hAnsi="Times New Roman" w:cs="Times New Roman" w:hint="eastAsia"/>
          <w:spacing w:val="-3"/>
          <w:szCs w:val="24"/>
          <w:lang w:eastAsia="zh-CN"/>
        </w:rPr>
        <w:t>《</w:t>
      </w:r>
      <w:r w:rsidRPr="00A3267D">
        <w:rPr>
          <w:rFonts w:ascii="Times New Roman" w:eastAsia="宋体" w:hAnsi="Times New Roman" w:cs="Times New Roman" w:hint="eastAsia"/>
          <w:spacing w:val="-3"/>
          <w:szCs w:val="24"/>
          <w:lang w:eastAsia="zh-CN"/>
        </w:rPr>
        <w:t xml:space="preserve">ISO 14064-1:2018 </w:t>
      </w:r>
      <w:r w:rsidRPr="00A3267D">
        <w:rPr>
          <w:rFonts w:ascii="Times New Roman" w:eastAsia="宋体" w:hAnsi="Times New Roman" w:cs="Times New Roman" w:hint="eastAsia"/>
          <w:spacing w:val="-3"/>
          <w:szCs w:val="24"/>
          <w:lang w:eastAsia="zh-CN"/>
        </w:rPr>
        <w:t>温室气体</w:t>
      </w:r>
      <w:r w:rsidRPr="00A3267D">
        <w:rPr>
          <w:rFonts w:ascii="Times New Roman" w:eastAsia="宋体" w:hAnsi="Times New Roman" w:cs="Times New Roman" w:hint="eastAsia"/>
          <w:spacing w:val="-3"/>
          <w:szCs w:val="24"/>
          <w:lang w:eastAsia="zh-CN"/>
        </w:rPr>
        <w:t xml:space="preserve"> </w:t>
      </w:r>
      <w:r w:rsidRPr="00A3267D">
        <w:rPr>
          <w:rFonts w:ascii="Times New Roman" w:eastAsia="宋体" w:hAnsi="Times New Roman" w:cs="Times New Roman" w:hint="eastAsia"/>
          <w:spacing w:val="-3"/>
          <w:szCs w:val="24"/>
          <w:lang w:eastAsia="zh-CN"/>
        </w:rPr>
        <w:t>第一部分：组织层次上对温室气体排</w:t>
      </w:r>
      <w:r w:rsidR="00A344EB" w:rsidRPr="00A3267D">
        <w:rPr>
          <w:rFonts w:ascii="Times New Roman" w:eastAsia="宋体" w:hAnsi="Times New Roman" w:cs="Times New Roman" w:hint="eastAsia"/>
          <w:spacing w:val="-3"/>
          <w:szCs w:val="24"/>
          <w:lang w:eastAsia="zh-CN"/>
        </w:rPr>
        <w:t xml:space="preserve"> </w:t>
      </w:r>
      <w:r w:rsidR="00A344EB" w:rsidRPr="00A3267D">
        <w:rPr>
          <w:rFonts w:ascii="Times New Roman" w:eastAsia="宋体" w:hAnsi="Times New Roman" w:cs="Times New Roman"/>
          <w:spacing w:val="-3"/>
          <w:szCs w:val="24"/>
          <w:lang w:eastAsia="zh-CN"/>
        </w:rPr>
        <w:t xml:space="preserve"> </w:t>
      </w:r>
      <w:r w:rsidRPr="00A3267D">
        <w:rPr>
          <w:rFonts w:ascii="Times New Roman" w:eastAsia="宋体" w:hAnsi="Times New Roman" w:cs="Times New Roman" w:hint="eastAsia"/>
          <w:spacing w:val="-3"/>
          <w:szCs w:val="24"/>
          <w:lang w:eastAsia="zh-CN"/>
        </w:rPr>
        <w:t>放和清除的量化和报告的规范及指南》</w:t>
      </w:r>
      <w:r w:rsidR="00D20A16" w:rsidRPr="00A3267D">
        <w:rPr>
          <w:rFonts w:ascii="Times New Roman" w:eastAsia="宋体" w:hAnsi="Times New Roman" w:cs="Times New Roman" w:hint="eastAsia"/>
          <w:spacing w:val="-3"/>
          <w:szCs w:val="24"/>
          <w:lang w:eastAsia="zh-CN"/>
        </w:rPr>
        <w:t>中明确要求组织应</w:t>
      </w:r>
      <w:r w:rsidR="00D20A16" w:rsidRPr="00A3267D">
        <w:rPr>
          <w:rFonts w:ascii="MS Gothic" w:eastAsia="MS Gothic" w:hAnsi="MS Gothic" w:cs="MS Gothic" w:hint="eastAsia"/>
          <w:spacing w:val="-3"/>
          <w:szCs w:val="24"/>
          <w:lang w:eastAsia="zh-CN"/>
        </w:rPr>
        <w:t>​​</w:t>
      </w:r>
      <w:r w:rsidR="00D20A16" w:rsidRPr="00A3267D">
        <w:rPr>
          <w:rFonts w:ascii="宋体" w:eastAsia="宋体" w:hAnsi="宋体" w:cs="宋体" w:hint="eastAsia"/>
          <w:spacing w:val="-3"/>
          <w:szCs w:val="24"/>
          <w:lang w:eastAsia="zh-CN"/>
        </w:rPr>
        <w:t>评估和报告其温室气体排放量化的不确定度</w:t>
      </w:r>
      <w:r w:rsidR="00D20A16" w:rsidRPr="00A3267D">
        <w:rPr>
          <w:rFonts w:ascii="MS Gothic" w:eastAsia="MS Gothic" w:hAnsi="MS Gothic" w:cs="MS Gothic" w:hint="eastAsia"/>
          <w:spacing w:val="-3"/>
          <w:szCs w:val="24"/>
          <w:lang w:eastAsia="zh-CN"/>
        </w:rPr>
        <w:t>​​</w:t>
      </w:r>
      <w:r w:rsidR="00D20A16" w:rsidRPr="00A3267D">
        <w:rPr>
          <w:rFonts w:ascii="Times New Roman" w:eastAsia="宋体" w:hAnsi="Times New Roman" w:cs="Times New Roman" w:hint="eastAsia"/>
          <w:spacing w:val="-3"/>
          <w:szCs w:val="24"/>
          <w:lang w:eastAsia="zh-CN"/>
        </w:rPr>
        <w:t>，并提供了不确定度评估的指导原则</w:t>
      </w:r>
      <w:r w:rsidR="00D20A16" w:rsidRPr="00A3267D">
        <w:rPr>
          <w:rFonts w:ascii="宋体" w:eastAsia="宋体" w:hAnsi="宋体" w:cs="宋体" w:hint="eastAsia"/>
          <w:spacing w:val="-3"/>
          <w:szCs w:val="24"/>
          <w:lang w:eastAsia="zh-CN"/>
        </w:rPr>
        <w:t>；《IPCC国家温室气体清单指南》（2006年版及2019修订版）</w:t>
      </w:r>
      <w:r w:rsidR="00D20A16" w:rsidRPr="00A3267D">
        <w:rPr>
          <w:rFonts w:ascii="Times New Roman" w:eastAsia="宋体" w:hAnsi="Times New Roman" w:cs="Times New Roman"/>
          <w:spacing w:val="-3"/>
          <w:szCs w:val="24"/>
          <w:lang w:eastAsia="zh-CN"/>
        </w:rPr>
        <w:t>设有专门的</w:t>
      </w:r>
      <w:r w:rsidR="00D20A16" w:rsidRPr="00A3267D">
        <w:rPr>
          <w:rFonts w:ascii="Times New Roman" w:eastAsia="宋体" w:hAnsi="Times New Roman" w:cs="Times New Roman"/>
          <w:spacing w:val="-3"/>
          <w:szCs w:val="24"/>
          <w:lang w:eastAsia="zh-CN"/>
        </w:rPr>
        <w:t>​</w:t>
      </w:r>
      <w:r w:rsidR="00D20A16" w:rsidRPr="00A3267D">
        <w:rPr>
          <w:rFonts w:ascii="Times New Roman" w:eastAsia="宋体" w:hAnsi="Times New Roman" w:cs="Times New Roman"/>
          <w:bCs/>
          <w:spacing w:val="-3"/>
          <w:szCs w:val="24"/>
          <w:lang w:eastAsia="zh-CN"/>
        </w:rPr>
        <w:t>​</w:t>
      </w:r>
      <w:r w:rsidR="00D20A16" w:rsidRPr="00A3267D">
        <w:rPr>
          <w:rFonts w:ascii="Times New Roman" w:eastAsia="宋体" w:hAnsi="Times New Roman" w:cs="Times New Roman"/>
          <w:bCs/>
          <w:spacing w:val="-3"/>
          <w:szCs w:val="24"/>
          <w:lang w:eastAsia="zh-CN"/>
        </w:rPr>
        <w:t>不确定度评估章节。为</w:t>
      </w:r>
      <w:r w:rsidR="00D20A16" w:rsidRPr="00A3267D">
        <w:rPr>
          <w:rFonts w:ascii="Times New Roman" w:eastAsia="宋体" w:hAnsi="Times New Roman" w:cs="Times New Roman" w:hint="eastAsia"/>
          <w:bCs/>
          <w:spacing w:val="-3"/>
          <w:szCs w:val="24"/>
          <w:lang w:eastAsia="zh-CN"/>
        </w:rPr>
        <w:t>国家层面的清单编制提供了详细的不确定度评估方法，包括</w:t>
      </w:r>
      <w:r w:rsidR="00D20A16" w:rsidRPr="00A3267D">
        <w:rPr>
          <w:rFonts w:ascii="Times New Roman" w:eastAsia="宋体" w:hAnsi="Times New Roman" w:cs="Times New Roman" w:hint="eastAsia"/>
          <w:bCs/>
          <w:spacing w:val="-3"/>
          <w:szCs w:val="24"/>
          <w:lang w:eastAsia="zh-CN"/>
        </w:rPr>
        <w:t xml:space="preserve"> Tier 1</w:t>
      </w:r>
      <w:r w:rsidR="00D20A16" w:rsidRPr="00A3267D">
        <w:rPr>
          <w:rFonts w:ascii="Times New Roman" w:eastAsia="宋体" w:hAnsi="Times New Roman" w:cs="Times New Roman" w:hint="eastAsia"/>
          <w:bCs/>
          <w:spacing w:val="-3"/>
          <w:szCs w:val="24"/>
          <w:lang w:eastAsia="zh-CN"/>
        </w:rPr>
        <w:t>（基本）、</w:t>
      </w:r>
      <w:r w:rsidR="00D20A16" w:rsidRPr="00A3267D">
        <w:rPr>
          <w:rFonts w:ascii="Times New Roman" w:eastAsia="宋体" w:hAnsi="Times New Roman" w:cs="Times New Roman" w:hint="eastAsia"/>
          <w:bCs/>
          <w:spacing w:val="-3"/>
          <w:szCs w:val="24"/>
          <w:lang w:eastAsia="zh-CN"/>
        </w:rPr>
        <w:t>Tier 2</w:t>
      </w:r>
      <w:r w:rsidR="00D20A16" w:rsidRPr="00A3267D">
        <w:rPr>
          <w:rFonts w:ascii="Times New Roman" w:eastAsia="宋体" w:hAnsi="Times New Roman" w:cs="Times New Roman" w:hint="eastAsia"/>
          <w:bCs/>
          <w:spacing w:val="-3"/>
          <w:szCs w:val="24"/>
          <w:lang w:eastAsia="zh-CN"/>
        </w:rPr>
        <w:t>（高级）和</w:t>
      </w:r>
      <w:r w:rsidR="00D20A16" w:rsidRPr="00A3267D">
        <w:rPr>
          <w:rFonts w:ascii="Times New Roman" w:eastAsia="宋体" w:hAnsi="Times New Roman" w:cs="Times New Roman" w:hint="eastAsia"/>
          <w:bCs/>
          <w:spacing w:val="-3"/>
          <w:szCs w:val="24"/>
          <w:lang w:eastAsia="zh-CN"/>
        </w:rPr>
        <w:t xml:space="preserve"> Tier 3</w:t>
      </w:r>
      <w:r w:rsidR="00D20A16" w:rsidRPr="00A3267D">
        <w:rPr>
          <w:rFonts w:ascii="Times New Roman" w:eastAsia="宋体" w:hAnsi="Times New Roman" w:cs="Times New Roman" w:hint="eastAsia"/>
          <w:bCs/>
          <w:spacing w:val="-3"/>
          <w:szCs w:val="24"/>
          <w:lang w:eastAsia="zh-CN"/>
        </w:rPr>
        <w:t>（最复杂）方法。</w:t>
      </w:r>
      <w:r w:rsidR="00A344EB" w:rsidRPr="00A3267D">
        <w:rPr>
          <w:rFonts w:ascii="Times New Roman" w:eastAsia="宋体" w:hAnsi="Times New Roman" w:cs="Times New Roman" w:hint="eastAsia"/>
          <w:bCs/>
          <w:spacing w:val="-3"/>
          <w:szCs w:val="24"/>
          <w:lang w:eastAsia="zh-CN"/>
        </w:rPr>
        <w:t>欧盟碳市场</w:t>
      </w:r>
      <w:r w:rsidR="007C265A" w:rsidRPr="00A3267D">
        <w:rPr>
          <w:rFonts w:ascii="Times New Roman" w:eastAsia="宋体" w:hAnsi="Times New Roman" w:cs="Times New Roman" w:hint="eastAsia"/>
          <w:bCs/>
          <w:spacing w:val="-3"/>
          <w:szCs w:val="24"/>
          <w:lang w:eastAsia="zh-CN"/>
        </w:rPr>
        <w:t>亦要求控排企业按照</w:t>
      </w:r>
      <w:r w:rsidR="00D422E7" w:rsidRPr="00A3267D">
        <w:rPr>
          <w:rFonts w:ascii="Times New Roman" w:eastAsia="宋体" w:hAnsi="Times New Roman" w:cs="Times New Roman"/>
          <w:bCs/>
          <w:spacing w:val="-3"/>
          <w:szCs w:val="24"/>
          <w:lang w:eastAsia="zh-CN"/>
        </w:rPr>
        <w:t>ISO</w:t>
      </w:r>
      <w:r w:rsidR="00D422E7" w:rsidRPr="00A3267D">
        <w:rPr>
          <w:rFonts w:ascii="Times New Roman" w:eastAsia="宋体" w:hAnsi="Times New Roman" w:cs="Times New Roman" w:hint="eastAsia"/>
          <w:bCs/>
          <w:spacing w:val="-3"/>
          <w:szCs w:val="24"/>
          <w:lang w:eastAsia="zh-CN"/>
        </w:rPr>
        <w:t>《测量不确定度表示指南》（</w:t>
      </w:r>
      <w:r w:rsidR="00D422E7" w:rsidRPr="00A3267D">
        <w:rPr>
          <w:rFonts w:ascii="Times New Roman" w:eastAsia="宋体" w:hAnsi="Times New Roman" w:cs="Times New Roman" w:hint="eastAsia"/>
          <w:bCs/>
          <w:spacing w:val="-3"/>
          <w:szCs w:val="24"/>
          <w:lang w:eastAsia="zh-CN"/>
        </w:rPr>
        <w:t>J</w:t>
      </w:r>
      <w:r w:rsidR="00D422E7" w:rsidRPr="00A3267D">
        <w:rPr>
          <w:rFonts w:ascii="Times New Roman" w:eastAsia="宋体" w:hAnsi="Times New Roman" w:cs="Times New Roman"/>
          <w:bCs/>
          <w:spacing w:val="-3"/>
          <w:szCs w:val="24"/>
          <w:lang w:eastAsia="zh-CN"/>
        </w:rPr>
        <w:t>CGM 100:2008</w:t>
      </w:r>
      <w:r w:rsidR="00D422E7" w:rsidRPr="00A3267D">
        <w:rPr>
          <w:rFonts w:ascii="Times New Roman" w:eastAsia="宋体" w:hAnsi="Times New Roman" w:cs="Times New Roman" w:hint="eastAsia"/>
          <w:bCs/>
          <w:spacing w:val="-3"/>
          <w:szCs w:val="24"/>
          <w:lang w:eastAsia="zh-CN"/>
        </w:rPr>
        <w:t>）要求，</w:t>
      </w:r>
      <w:r w:rsidR="007C265A" w:rsidRPr="00A3267D">
        <w:rPr>
          <w:rFonts w:ascii="Times New Roman" w:eastAsia="宋体" w:hAnsi="Times New Roman" w:cs="Times New Roman" w:hint="eastAsia"/>
          <w:bCs/>
          <w:spacing w:val="-3"/>
          <w:szCs w:val="24"/>
          <w:lang w:eastAsia="zh-CN"/>
        </w:rPr>
        <w:t>定期向主管部门提交不确定度评估报告，证明其满足监测计划中规定层级的不确定度阈值要求。</w:t>
      </w:r>
      <w:r w:rsidR="00D20A16" w:rsidRPr="00A3267D">
        <w:rPr>
          <w:rFonts w:ascii="Times New Roman" w:eastAsia="宋体" w:hAnsi="Times New Roman" w:cs="Times New Roman" w:hint="eastAsia"/>
          <w:bCs/>
          <w:spacing w:val="-3"/>
          <w:szCs w:val="24"/>
          <w:lang w:eastAsia="zh-CN"/>
        </w:rPr>
        <w:t>此标准的制定能有效填补我国水泥行业碳</w:t>
      </w:r>
      <w:r w:rsidR="00F03805" w:rsidRPr="00A3267D">
        <w:rPr>
          <w:rFonts w:ascii="Times New Roman" w:eastAsia="宋体" w:hAnsi="Times New Roman" w:cs="Times New Roman" w:hint="eastAsia"/>
          <w:bCs/>
          <w:spacing w:val="-3"/>
          <w:szCs w:val="24"/>
          <w:lang w:eastAsia="zh-CN"/>
        </w:rPr>
        <w:t>排放</w:t>
      </w:r>
      <w:r w:rsidR="00D20A16" w:rsidRPr="00A3267D">
        <w:rPr>
          <w:rFonts w:ascii="Times New Roman" w:eastAsia="宋体" w:hAnsi="Times New Roman" w:cs="Times New Roman" w:hint="eastAsia"/>
          <w:bCs/>
          <w:spacing w:val="-3"/>
          <w:szCs w:val="24"/>
          <w:lang w:eastAsia="zh-CN"/>
        </w:rPr>
        <w:t>数据不确定度评定</w:t>
      </w:r>
      <w:r w:rsidR="00F03805" w:rsidRPr="00A3267D">
        <w:rPr>
          <w:rFonts w:ascii="Times New Roman" w:eastAsia="宋体" w:hAnsi="Times New Roman" w:cs="Times New Roman" w:hint="eastAsia"/>
          <w:bCs/>
          <w:spacing w:val="-3"/>
          <w:szCs w:val="24"/>
          <w:lang w:eastAsia="zh-CN"/>
        </w:rPr>
        <w:t>的标准</w:t>
      </w:r>
      <w:r w:rsidR="00D20A16" w:rsidRPr="00A3267D">
        <w:rPr>
          <w:rFonts w:ascii="Times New Roman" w:eastAsia="宋体" w:hAnsi="Times New Roman" w:cs="Times New Roman" w:hint="eastAsia"/>
          <w:bCs/>
          <w:spacing w:val="-3"/>
          <w:szCs w:val="24"/>
          <w:lang w:eastAsia="zh-CN"/>
        </w:rPr>
        <w:t>空白</w:t>
      </w:r>
      <w:r w:rsidR="00E27903" w:rsidRPr="00A3267D">
        <w:rPr>
          <w:rFonts w:ascii="Times New Roman" w:eastAsia="宋体" w:hAnsi="Times New Roman" w:cs="Times New Roman" w:hint="eastAsia"/>
          <w:bCs/>
          <w:spacing w:val="-3"/>
          <w:szCs w:val="24"/>
          <w:lang w:eastAsia="zh-CN"/>
        </w:rPr>
        <w:t>，初步建立具有操作性的水泥行业碳计量不确定评价方法</w:t>
      </w:r>
      <w:r w:rsidR="00621213" w:rsidRPr="00A3267D">
        <w:rPr>
          <w:rFonts w:ascii="Times New Roman" w:eastAsia="宋体" w:hAnsi="Times New Roman" w:cs="Times New Roman" w:hint="eastAsia"/>
          <w:bCs/>
          <w:spacing w:val="-3"/>
          <w:szCs w:val="24"/>
          <w:lang w:eastAsia="zh-CN"/>
        </w:rPr>
        <w:t>。</w:t>
      </w:r>
    </w:p>
    <w:p w14:paraId="205046A2" w14:textId="77777777" w:rsidR="00352192" w:rsidRPr="00A3267D" w:rsidRDefault="007B7ADF" w:rsidP="00B94C07">
      <w:pPr>
        <w:pStyle w:val="1"/>
        <w:spacing w:before="0" w:after="0" w:line="360" w:lineRule="auto"/>
        <w:ind w:firstLine="480"/>
        <w:jc w:val="both"/>
        <w:rPr>
          <w:rFonts w:ascii="黑体" w:eastAsia="黑体" w:hAnsi="黑体" w:cs="Times New Roman"/>
          <w:b w:val="0"/>
          <w:spacing w:val="-1"/>
          <w:sz w:val="24"/>
          <w:szCs w:val="24"/>
          <w:lang w:eastAsia="zh-CN"/>
        </w:rPr>
      </w:pPr>
      <w:r w:rsidRPr="00A3267D">
        <w:rPr>
          <w:rFonts w:ascii="黑体" w:eastAsia="黑体" w:hAnsi="黑体"/>
          <w:b w:val="0"/>
          <w:sz w:val="24"/>
          <w:szCs w:val="24"/>
          <w:lang w:eastAsia="zh-CN"/>
        </w:rPr>
        <w:t>二、编制工作简况</w:t>
      </w:r>
    </w:p>
    <w:p w14:paraId="4FD90151" w14:textId="3512E504" w:rsidR="00634DB9" w:rsidRPr="00A3267D" w:rsidRDefault="00352192" w:rsidP="00924D51">
      <w:pPr>
        <w:ind w:firstLine="470"/>
        <w:jc w:val="both"/>
        <w:outlineLvl w:val="2"/>
        <w:rPr>
          <w:rFonts w:ascii="Times New Roman" w:eastAsia="黑体" w:hAnsi="Times New Roman" w:cs="Times New Roman"/>
          <w:szCs w:val="24"/>
          <w:lang w:eastAsia="zh-CN"/>
        </w:rPr>
      </w:pPr>
      <w:r w:rsidRPr="00A3267D">
        <w:rPr>
          <w:rFonts w:ascii="Times New Roman" w:eastAsia="Times New Roman" w:hAnsi="Times New Roman" w:cs="Times New Roman"/>
          <w:spacing w:val="-5"/>
          <w:szCs w:val="24"/>
          <w:lang w:eastAsia="zh-CN"/>
        </w:rPr>
        <w:t>1</w:t>
      </w:r>
      <w:r w:rsidR="00B176EC" w:rsidRPr="00A3267D">
        <w:rPr>
          <w:rFonts w:asciiTheme="minorEastAsia" w:hAnsiTheme="minorEastAsia" w:cs="Times New Roman"/>
          <w:spacing w:val="-4"/>
          <w:szCs w:val="24"/>
          <w:lang w:eastAsia="zh-CN"/>
        </w:rPr>
        <w:t>.</w:t>
      </w:r>
      <w:r w:rsidR="007B7ADF" w:rsidRPr="00A3267D">
        <w:rPr>
          <w:rFonts w:ascii="Times New Roman" w:hAnsi="Times New Roman" w:cs="Times New Roman"/>
          <w:b/>
          <w:noProof w:val="0"/>
          <w:snapToGrid/>
          <w:color w:val="auto"/>
          <w:kern w:val="2"/>
          <w:szCs w:val="32"/>
          <w:lang w:eastAsia="zh-CN"/>
        </w:rPr>
        <w:t>起草过程</w:t>
      </w:r>
    </w:p>
    <w:p w14:paraId="53146DD2" w14:textId="5AF767D4" w:rsidR="00634DB9" w:rsidRPr="00A3267D" w:rsidRDefault="00632C7D" w:rsidP="00924D51">
      <w:pPr>
        <w:ind w:firstLine="476"/>
        <w:jc w:val="both"/>
        <w:rPr>
          <w:rFonts w:ascii="Times New Roman" w:hAnsi="Times New Roman" w:cs="Times New Roman"/>
          <w:spacing w:val="-2"/>
          <w:szCs w:val="24"/>
          <w:lang w:eastAsia="zh-CN"/>
        </w:rPr>
      </w:pPr>
      <w:r w:rsidRPr="00A3267D">
        <w:rPr>
          <w:rFonts w:ascii="Times New Roman" w:hAnsi="Times New Roman" w:cs="Times New Roman"/>
          <w:spacing w:val="-2"/>
          <w:szCs w:val="24"/>
          <w:lang w:eastAsia="zh-CN"/>
        </w:rPr>
        <w:lastRenderedPageBreak/>
        <w:t>1</w:t>
      </w:r>
      <w:r w:rsidR="0047521D" w:rsidRPr="00A3267D">
        <w:rPr>
          <w:rFonts w:ascii="Times New Roman" w:hAnsi="Times New Roman" w:cs="Times New Roman"/>
          <w:spacing w:val="-2"/>
          <w:szCs w:val="24"/>
          <w:lang w:eastAsia="zh-CN"/>
        </w:rPr>
        <w:t>）</w:t>
      </w:r>
      <w:r w:rsidRPr="00A3267D">
        <w:rPr>
          <w:rFonts w:ascii="Times New Roman" w:hAnsi="Times New Roman" w:cs="Times New Roman"/>
          <w:spacing w:val="-2"/>
          <w:szCs w:val="24"/>
          <w:lang w:eastAsia="zh-CN"/>
        </w:rPr>
        <w:t xml:space="preserve"> 20</w:t>
      </w:r>
      <w:r w:rsidR="00101CCD" w:rsidRPr="00A3267D">
        <w:rPr>
          <w:rFonts w:ascii="Times New Roman" w:hAnsi="Times New Roman" w:cs="Times New Roman" w:hint="eastAsia"/>
          <w:spacing w:val="-2"/>
          <w:szCs w:val="24"/>
          <w:lang w:eastAsia="zh-CN"/>
        </w:rPr>
        <w:t>25</w:t>
      </w:r>
      <w:r w:rsidR="007B7ADF" w:rsidRPr="00A3267D">
        <w:rPr>
          <w:rFonts w:ascii="Times New Roman" w:hAnsi="Times New Roman" w:cs="Times New Roman"/>
          <w:spacing w:val="-2"/>
          <w:szCs w:val="24"/>
          <w:lang w:eastAsia="zh-CN"/>
        </w:rPr>
        <w:t>年</w:t>
      </w:r>
      <w:r w:rsidR="007B7ADF" w:rsidRPr="00A3267D">
        <w:rPr>
          <w:rFonts w:ascii="Times New Roman" w:hAnsi="Times New Roman" w:cs="Times New Roman"/>
          <w:spacing w:val="-30"/>
          <w:szCs w:val="24"/>
          <w:lang w:eastAsia="zh-CN"/>
        </w:rPr>
        <w:t xml:space="preserve"> </w:t>
      </w:r>
      <w:r w:rsidR="00101CCD" w:rsidRPr="00A3267D">
        <w:rPr>
          <w:rFonts w:ascii="Times New Roman" w:hAnsi="Times New Roman" w:cs="Times New Roman" w:hint="eastAsia"/>
          <w:spacing w:val="-2"/>
          <w:szCs w:val="24"/>
          <w:lang w:eastAsia="zh-CN"/>
        </w:rPr>
        <w:t>3</w:t>
      </w:r>
      <w:r w:rsidR="007B7ADF" w:rsidRPr="00A3267D">
        <w:rPr>
          <w:rFonts w:ascii="Times New Roman" w:hAnsi="Times New Roman" w:cs="Times New Roman"/>
          <w:spacing w:val="20"/>
          <w:w w:val="101"/>
          <w:szCs w:val="24"/>
          <w:lang w:eastAsia="zh-CN"/>
        </w:rPr>
        <w:t xml:space="preserve"> </w:t>
      </w:r>
      <w:r w:rsidR="007B7ADF" w:rsidRPr="00A3267D">
        <w:rPr>
          <w:rFonts w:ascii="Times New Roman" w:hAnsi="Times New Roman" w:cs="Times New Roman"/>
          <w:spacing w:val="-2"/>
          <w:szCs w:val="24"/>
          <w:lang w:eastAsia="zh-CN"/>
        </w:rPr>
        <w:t>月，下发了</w:t>
      </w:r>
      <w:r w:rsidR="00101CCD" w:rsidRPr="00A3267D">
        <w:rPr>
          <w:rFonts w:ascii="Times New Roman" w:hAnsi="Times New Roman" w:cs="Times New Roman" w:hint="eastAsia"/>
          <w:spacing w:val="-2"/>
          <w:szCs w:val="24"/>
          <w:lang w:eastAsia="zh-CN"/>
        </w:rPr>
        <w:t>《省市场监管局关于开展</w:t>
      </w:r>
      <w:r w:rsidR="00101CCD" w:rsidRPr="00A3267D">
        <w:rPr>
          <w:rFonts w:ascii="Times New Roman" w:hAnsi="Times New Roman" w:cs="Times New Roman" w:hint="eastAsia"/>
          <w:spacing w:val="-2"/>
          <w:szCs w:val="24"/>
          <w:lang w:eastAsia="zh-CN"/>
        </w:rPr>
        <w:t>2025</w:t>
      </w:r>
      <w:r w:rsidR="00101CCD" w:rsidRPr="00A3267D">
        <w:rPr>
          <w:rFonts w:ascii="Times New Roman" w:hAnsi="Times New Roman" w:cs="Times New Roman" w:hint="eastAsia"/>
          <w:spacing w:val="-2"/>
          <w:szCs w:val="24"/>
          <w:lang w:eastAsia="zh-CN"/>
        </w:rPr>
        <w:t>年度地方计量技术规范制修订工作的通知》（鄂市监量函〔</w:t>
      </w:r>
      <w:r w:rsidR="00101CCD" w:rsidRPr="00A3267D">
        <w:rPr>
          <w:rFonts w:ascii="Times New Roman" w:hAnsi="Times New Roman" w:cs="Times New Roman" w:hint="eastAsia"/>
          <w:spacing w:val="-2"/>
          <w:szCs w:val="24"/>
          <w:lang w:eastAsia="zh-CN"/>
        </w:rPr>
        <w:t>2025</w:t>
      </w:r>
      <w:r w:rsidR="00101CCD" w:rsidRPr="00A3267D">
        <w:rPr>
          <w:rFonts w:ascii="Times New Roman" w:hAnsi="Times New Roman" w:cs="Times New Roman" w:hint="eastAsia"/>
          <w:spacing w:val="-2"/>
          <w:szCs w:val="24"/>
          <w:lang w:eastAsia="zh-CN"/>
        </w:rPr>
        <w:t>〕</w:t>
      </w:r>
      <w:r w:rsidR="00101CCD" w:rsidRPr="00A3267D">
        <w:rPr>
          <w:rFonts w:ascii="Times New Roman" w:hAnsi="Times New Roman" w:cs="Times New Roman" w:hint="eastAsia"/>
          <w:spacing w:val="-2"/>
          <w:szCs w:val="24"/>
          <w:lang w:eastAsia="zh-CN"/>
        </w:rPr>
        <w:t>51</w:t>
      </w:r>
      <w:r w:rsidR="00101CCD" w:rsidRPr="00A3267D">
        <w:rPr>
          <w:rFonts w:ascii="Times New Roman" w:hAnsi="Times New Roman" w:cs="Times New Roman" w:hint="eastAsia"/>
          <w:spacing w:val="-2"/>
          <w:szCs w:val="24"/>
          <w:lang w:eastAsia="zh-CN"/>
        </w:rPr>
        <w:t>号）</w:t>
      </w:r>
      <w:r w:rsidRPr="00A3267D">
        <w:rPr>
          <w:rFonts w:ascii="Times New Roman" w:hAnsi="Times New Roman" w:cs="Times New Roman"/>
          <w:spacing w:val="-2"/>
          <w:szCs w:val="24"/>
          <w:lang w:eastAsia="zh-CN"/>
        </w:rPr>
        <w:t>，</w:t>
      </w:r>
      <w:r w:rsidR="00511E0D" w:rsidRPr="00A3267D">
        <w:rPr>
          <w:rFonts w:ascii="Times New Roman" w:hAnsi="Times New Roman" w:cs="Times New Roman"/>
          <w:spacing w:val="-2"/>
          <w:szCs w:val="24"/>
          <w:lang w:eastAsia="zh-CN"/>
        </w:rPr>
        <w:t>提出技术规范制定的</w:t>
      </w:r>
      <w:r w:rsidR="00951032" w:rsidRPr="00A3267D">
        <w:rPr>
          <w:rFonts w:ascii="Times New Roman" w:hAnsi="Times New Roman" w:cs="Times New Roman"/>
          <w:spacing w:val="-2"/>
          <w:szCs w:val="24"/>
          <w:lang w:eastAsia="zh-CN"/>
        </w:rPr>
        <w:t>相关</w:t>
      </w:r>
      <w:r w:rsidR="00511E0D" w:rsidRPr="00A3267D">
        <w:rPr>
          <w:rFonts w:ascii="Times New Roman" w:hAnsi="Times New Roman" w:cs="Times New Roman"/>
          <w:spacing w:val="-2"/>
          <w:szCs w:val="24"/>
          <w:lang w:eastAsia="zh-CN"/>
        </w:rPr>
        <w:t>任务</w:t>
      </w:r>
      <w:r w:rsidRPr="00A3267D">
        <w:rPr>
          <w:rFonts w:ascii="Times New Roman" w:hAnsi="Times New Roman" w:cs="Times New Roman"/>
          <w:spacing w:val="-2"/>
          <w:szCs w:val="24"/>
          <w:lang w:eastAsia="zh-CN"/>
        </w:rPr>
        <w:t>要求</w:t>
      </w:r>
      <w:r w:rsidR="002A7454" w:rsidRPr="00A3267D">
        <w:rPr>
          <w:rFonts w:ascii="Times New Roman" w:hAnsi="Times New Roman" w:cs="Times New Roman"/>
          <w:spacing w:val="-2"/>
          <w:szCs w:val="24"/>
          <w:lang w:eastAsia="zh-CN"/>
        </w:rPr>
        <w:t>。</w:t>
      </w:r>
    </w:p>
    <w:p w14:paraId="51C5F29F" w14:textId="192C0D62" w:rsidR="00B1046E" w:rsidRPr="00A3267D" w:rsidRDefault="0047521D" w:rsidP="00250EC8">
      <w:pPr>
        <w:ind w:firstLine="476"/>
        <w:jc w:val="both"/>
        <w:rPr>
          <w:rFonts w:ascii="Times New Roman" w:hAnsi="Times New Roman" w:cs="Times New Roman"/>
          <w:spacing w:val="-2"/>
          <w:szCs w:val="24"/>
          <w:lang w:eastAsia="zh-CN"/>
        </w:rPr>
      </w:pPr>
      <w:r w:rsidRPr="00A3267D">
        <w:rPr>
          <w:rFonts w:ascii="Times New Roman" w:hAnsi="Times New Roman" w:cs="Times New Roman"/>
          <w:spacing w:val="-2"/>
          <w:szCs w:val="24"/>
          <w:lang w:eastAsia="zh-CN"/>
        </w:rPr>
        <w:t>2</w:t>
      </w:r>
      <w:r w:rsidRPr="00A3267D">
        <w:rPr>
          <w:rFonts w:ascii="Times New Roman" w:hAnsi="Times New Roman" w:cs="Times New Roman"/>
          <w:spacing w:val="-2"/>
          <w:szCs w:val="24"/>
          <w:lang w:eastAsia="zh-CN"/>
        </w:rPr>
        <w:t>）</w:t>
      </w:r>
      <w:r w:rsidR="00550EAA" w:rsidRPr="00A3267D">
        <w:rPr>
          <w:rFonts w:ascii="Times New Roman" w:hAnsi="Times New Roman" w:cs="Times New Roman"/>
          <w:spacing w:val="-2"/>
          <w:szCs w:val="24"/>
          <w:lang w:eastAsia="zh-CN"/>
        </w:rPr>
        <w:t>202</w:t>
      </w:r>
      <w:r w:rsidR="00550EAA" w:rsidRPr="00A3267D">
        <w:rPr>
          <w:rFonts w:ascii="Times New Roman" w:hAnsi="Times New Roman" w:cs="Times New Roman" w:hint="eastAsia"/>
          <w:spacing w:val="-2"/>
          <w:szCs w:val="24"/>
          <w:lang w:eastAsia="zh-CN"/>
        </w:rPr>
        <w:t>5</w:t>
      </w:r>
      <w:r w:rsidR="00550EAA" w:rsidRPr="00A3267D">
        <w:rPr>
          <w:rFonts w:ascii="Times New Roman" w:hAnsi="Times New Roman" w:cs="Times New Roman"/>
          <w:spacing w:val="-2"/>
          <w:szCs w:val="24"/>
          <w:lang w:eastAsia="zh-CN"/>
        </w:rPr>
        <w:t xml:space="preserve"> </w:t>
      </w:r>
      <w:r w:rsidR="00550EAA" w:rsidRPr="00A3267D">
        <w:rPr>
          <w:rFonts w:ascii="Times New Roman" w:hAnsi="Times New Roman" w:cs="Times New Roman"/>
          <w:spacing w:val="-2"/>
          <w:szCs w:val="24"/>
          <w:lang w:eastAsia="zh-CN"/>
        </w:rPr>
        <w:t>年</w:t>
      </w:r>
      <w:r w:rsidR="00550EAA" w:rsidRPr="00A3267D">
        <w:rPr>
          <w:rFonts w:ascii="Times New Roman" w:hAnsi="Times New Roman" w:cs="Times New Roman"/>
          <w:spacing w:val="-2"/>
          <w:szCs w:val="24"/>
          <w:lang w:eastAsia="zh-CN"/>
        </w:rPr>
        <w:t xml:space="preserve"> </w:t>
      </w:r>
      <w:r w:rsidR="00511E0D" w:rsidRPr="00A3267D">
        <w:rPr>
          <w:rFonts w:ascii="Times New Roman" w:hAnsi="Times New Roman" w:cs="Times New Roman" w:hint="eastAsia"/>
          <w:spacing w:val="-2"/>
          <w:szCs w:val="24"/>
          <w:lang w:eastAsia="zh-CN"/>
        </w:rPr>
        <w:t>3</w:t>
      </w:r>
      <w:r w:rsidR="00550EAA" w:rsidRPr="00A3267D">
        <w:rPr>
          <w:rFonts w:ascii="Times New Roman" w:hAnsi="Times New Roman" w:cs="Times New Roman"/>
          <w:spacing w:val="-2"/>
          <w:szCs w:val="24"/>
          <w:lang w:eastAsia="zh-CN"/>
        </w:rPr>
        <w:t>月至</w:t>
      </w:r>
      <w:r w:rsidR="00550EAA" w:rsidRPr="00A3267D">
        <w:rPr>
          <w:rFonts w:ascii="Times New Roman" w:hAnsi="Times New Roman" w:cs="Times New Roman"/>
          <w:spacing w:val="-2"/>
          <w:szCs w:val="24"/>
          <w:lang w:eastAsia="zh-CN"/>
        </w:rPr>
        <w:t xml:space="preserve"> 202</w:t>
      </w:r>
      <w:r w:rsidR="00511E0D" w:rsidRPr="00A3267D">
        <w:rPr>
          <w:rFonts w:ascii="Times New Roman" w:hAnsi="Times New Roman" w:cs="Times New Roman" w:hint="eastAsia"/>
          <w:spacing w:val="-2"/>
          <w:szCs w:val="24"/>
          <w:lang w:eastAsia="zh-CN"/>
        </w:rPr>
        <w:t>5</w:t>
      </w:r>
      <w:r w:rsidR="00550EAA" w:rsidRPr="00A3267D">
        <w:rPr>
          <w:rFonts w:ascii="Times New Roman" w:hAnsi="Times New Roman" w:cs="Times New Roman"/>
          <w:spacing w:val="-2"/>
          <w:szCs w:val="24"/>
          <w:lang w:eastAsia="zh-CN"/>
        </w:rPr>
        <w:t xml:space="preserve"> </w:t>
      </w:r>
      <w:r w:rsidR="00550EAA" w:rsidRPr="00A3267D">
        <w:rPr>
          <w:rFonts w:ascii="Times New Roman" w:hAnsi="Times New Roman" w:cs="Times New Roman"/>
          <w:spacing w:val="-2"/>
          <w:szCs w:val="24"/>
          <w:lang w:eastAsia="zh-CN"/>
        </w:rPr>
        <w:t>年</w:t>
      </w:r>
      <w:r w:rsidR="00550EAA" w:rsidRPr="00A3267D">
        <w:rPr>
          <w:rFonts w:ascii="Times New Roman" w:hAnsi="Times New Roman" w:cs="Times New Roman"/>
          <w:spacing w:val="-2"/>
          <w:szCs w:val="24"/>
          <w:lang w:eastAsia="zh-CN"/>
        </w:rPr>
        <w:t xml:space="preserve"> </w:t>
      </w:r>
      <w:r w:rsidR="00511E0D" w:rsidRPr="00A3267D">
        <w:rPr>
          <w:rFonts w:ascii="Times New Roman" w:hAnsi="Times New Roman" w:cs="Times New Roman" w:hint="eastAsia"/>
          <w:spacing w:val="-2"/>
          <w:szCs w:val="24"/>
          <w:lang w:eastAsia="zh-CN"/>
        </w:rPr>
        <w:t>5</w:t>
      </w:r>
      <w:r w:rsidR="00550EAA" w:rsidRPr="00A3267D">
        <w:rPr>
          <w:rFonts w:ascii="Times New Roman" w:hAnsi="Times New Roman" w:cs="Times New Roman"/>
          <w:spacing w:val="-2"/>
          <w:szCs w:val="24"/>
          <w:lang w:eastAsia="zh-CN"/>
        </w:rPr>
        <w:t>月，</w:t>
      </w:r>
      <w:r w:rsidR="0066764D" w:rsidRPr="00A3267D">
        <w:rPr>
          <w:rFonts w:ascii="Times New Roman" w:hAnsi="Times New Roman" w:cs="Times New Roman"/>
          <w:noProof w:val="0"/>
          <w:snapToGrid/>
          <w:color w:val="auto"/>
          <w:szCs w:val="24"/>
          <w:lang w:eastAsia="zh-CN"/>
        </w:rPr>
        <w:t>完成《湖北省水泥行业碳计量技术规范</w:t>
      </w:r>
      <w:r w:rsidR="0066764D" w:rsidRPr="00A3267D">
        <w:rPr>
          <w:rFonts w:ascii="Times New Roman" w:hAnsi="Times New Roman" w:cs="Times New Roman" w:hint="eastAsia"/>
          <w:noProof w:val="0"/>
          <w:snapToGrid/>
          <w:color w:val="auto"/>
          <w:szCs w:val="24"/>
          <w:lang w:eastAsia="zh-CN"/>
        </w:rPr>
        <w:t xml:space="preserve"> </w:t>
      </w:r>
      <w:r w:rsidR="0066764D" w:rsidRPr="00A3267D">
        <w:rPr>
          <w:rFonts w:ascii="Times New Roman" w:hAnsi="Times New Roman" w:cs="Times New Roman" w:hint="eastAsia"/>
          <w:noProof w:val="0"/>
          <w:snapToGrid/>
          <w:color w:val="auto"/>
          <w:szCs w:val="24"/>
          <w:lang w:eastAsia="zh-CN"/>
        </w:rPr>
        <w:t>不确定度评定</w:t>
      </w:r>
      <w:r w:rsidR="005A50DC" w:rsidRPr="00A3267D">
        <w:rPr>
          <w:rFonts w:ascii="Times New Roman" w:hAnsi="Times New Roman" w:cs="Times New Roman"/>
          <w:noProof w:val="0"/>
          <w:snapToGrid/>
          <w:color w:val="auto"/>
          <w:szCs w:val="24"/>
          <w:lang w:eastAsia="zh-CN"/>
        </w:rPr>
        <w:t>》地方计量规范立项初稿、规范编制方案</w:t>
      </w:r>
      <w:r w:rsidR="00550EAA" w:rsidRPr="00A3267D">
        <w:rPr>
          <w:rFonts w:ascii="Times New Roman" w:hAnsi="Times New Roman" w:cs="Times New Roman"/>
          <w:spacing w:val="-2"/>
          <w:szCs w:val="24"/>
          <w:lang w:eastAsia="zh-CN"/>
        </w:rPr>
        <w:t>。</w:t>
      </w:r>
    </w:p>
    <w:p w14:paraId="03E07980" w14:textId="79F89A9E" w:rsidR="00EA615A" w:rsidRPr="00A3267D" w:rsidRDefault="00E15DAE" w:rsidP="00205A83">
      <w:pPr>
        <w:ind w:firstLine="476"/>
        <w:jc w:val="both"/>
        <w:rPr>
          <w:rFonts w:ascii="Times New Roman" w:hAnsi="Times New Roman" w:cs="Times New Roman"/>
          <w:spacing w:val="-2"/>
          <w:szCs w:val="24"/>
          <w:lang w:eastAsia="zh-CN"/>
        </w:rPr>
      </w:pPr>
      <w:r w:rsidRPr="00A3267D">
        <w:rPr>
          <w:rFonts w:ascii="Times New Roman" w:hAnsi="Times New Roman" w:cs="Times New Roman"/>
          <w:spacing w:val="-2"/>
          <w:szCs w:val="24"/>
          <w:lang w:eastAsia="zh-CN"/>
        </w:rPr>
        <w:t>3</w:t>
      </w:r>
      <w:r w:rsidR="0047521D" w:rsidRPr="00A3267D">
        <w:rPr>
          <w:rFonts w:ascii="Times New Roman" w:hAnsi="Times New Roman" w:cs="Times New Roman"/>
          <w:spacing w:val="-2"/>
          <w:szCs w:val="24"/>
          <w:lang w:eastAsia="zh-CN"/>
        </w:rPr>
        <w:t>）</w:t>
      </w:r>
      <w:r w:rsidR="00F62FE1" w:rsidRPr="00A3267D">
        <w:rPr>
          <w:rFonts w:ascii="Times New Roman" w:hAnsi="Times New Roman" w:cs="Times New Roman" w:hint="eastAsia"/>
          <w:spacing w:val="-2"/>
          <w:szCs w:val="24"/>
          <w:lang w:eastAsia="zh-CN"/>
        </w:rPr>
        <w:t>2024</w:t>
      </w:r>
      <w:r w:rsidR="00F62FE1" w:rsidRPr="00A3267D">
        <w:rPr>
          <w:rFonts w:ascii="Times New Roman" w:hAnsi="Times New Roman" w:cs="Times New Roman" w:hint="eastAsia"/>
          <w:spacing w:val="-2"/>
          <w:szCs w:val="24"/>
          <w:lang w:eastAsia="zh-CN"/>
        </w:rPr>
        <w:t>年</w:t>
      </w:r>
      <w:r w:rsidR="00F62FE1" w:rsidRPr="00A3267D">
        <w:rPr>
          <w:rFonts w:ascii="Times New Roman" w:hAnsi="Times New Roman" w:cs="Times New Roman" w:hint="eastAsia"/>
          <w:spacing w:val="-2"/>
          <w:szCs w:val="24"/>
          <w:lang w:eastAsia="zh-CN"/>
        </w:rPr>
        <w:t>6</w:t>
      </w:r>
      <w:r w:rsidR="00F62FE1" w:rsidRPr="00A3267D">
        <w:rPr>
          <w:rFonts w:ascii="Times New Roman" w:hAnsi="Times New Roman" w:cs="Times New Roman" w:hint="eastAsia"/>
          <w:spacing w:val="-2"/>
          <w:szCs w:val="24"/>
          <w:lang w:eastAsia="zh-CN"/>
        </w:rPr>
        <w:t>月至</w:t>
      </w:r>
      <w:r w:rsidR="00F62FE1" w:rsidRPr="00A3267D">
        <w:rPr>
          <w:rFonts w:ascii="Times New Roman" w:hAnsi="Times New Roman" w:cs="Times New Roman" w:hint="eastAsia"/>
          <w:spacing w:val="-2"/>
          <w:szCs w:val="24"/>
          <w:lang w:eastAsia="zh-CN"/>
        </w:rPr>
        <w:t>2024</w:t>
      </w:r>
      <w:r w:rsidR="00F62FE1" w:rsidRPr="00A3267D">
        <w:rPr>
          <w:rFonts w:ascii="Times New Roman" w:hAnsi="Times New Roman" w:cs="Times New Roman" w:hint="eastAsia"/>
          <w:spacing w:val="-2"/>
          <w:szCs w:val="24"/>
          <w:lang w:eastAsia="zh-CN"/>
        </w:rPr>
        <w:t>年</w:t>
      </w:r>
      <w:r w:rsidR="00F62FE1" w:rsidRPr="00A3267D">
        <w:rPr>
          <w:rFonts w:ascii="Times New Roman" w:hAnsi="Times New Roman" w:cs="Times New Roman" w:hint="eastAsia"/>
          <w:spacing w:val="-2"/>
          <w:szCs w:val="24"/>
          <w:lang w:eastAsia="zh-CN"/>
        </w:rPr>
        <w:t>9</w:t>
      </w:r>
      <w:r w:rsidR="00F62FE1" w:rsidRPr="00A3267D">
        <w:rPr>
          <w:rFonts w:ascii="Times New Roman" w:hAnsi="Times New Roman" w:cs="Times New Roman" w:hint="eastAsia"/>
          <w:spacing w:val="-2"/>
          <w:szCs w:val="24"/>
          <w:lang w:eastAsia="zh-CN"/>
        </w:rPr>
        <w:t>月，编制组通过与中国计量总院、湖北省计量院专家多次会议沟通，吸纳专家及</w:t>
      </w:r>
      <w:r w:rsidR="00F62FE1" w:rsidRPr="00A3267D">
        <w:rPr>
          <w:rFonts w:ascii="Times New Roman" w:hAnsi="Times New Roman" w:cs="Times New Roman"/>
          <w:spacing w:val="-2"/>
          <w:szCs w:val="24"/>
          <w:lang w:eastAsia="zh-CN"/>
        </w:rPr>
        <w:t>工作组成员意见</w:t>
      </w:r>
      <w:r w:rsidR="00E27903" w:rsidRPr="00A3267D">
        <w:rPr>
          <w:rFonts w:ascii="Times New Roman" w:hAnsi="Times New Roman" w:cs="Times New Roman" w:hint="eastAsia"/>
          <w:spacing w:val="-2"/>
          <w:szCs w:val="24"/>
          <w:lang w:eastAsia="zh-CN"/>
        </w:rPr>
        <w:t>，</w:t>
      </w:r>
      <w:r w:rsidR="00F62FE1" w:rsidRPr="00A3267D">
        <w:rPr>
          <w:rFonts w:ascii="Times New Roman" w:hAnsi="Times New Roman" w:cs="Times New Roman"/>
          <w:spacing w:val="-2"/>
          <w:szCs w:val="24"/>
          <w:lang w:eastAsia="zh-CN"/>
        </w:rPr>
        <w:t>修改</w:t>
      </w:r>
      <w:r w:rsidR="00E27903" w:rsidRPr="00A3267D">
        <w:rPr>
          <w:rFonts w:ascii="Times New Roman" w:hAnsi="Times New Roman" w:cs="Times New Roman" w:hint="eastAsia"/>
          <w:spacing w:val="-2"/>
          <w:szCs w:val="24"/>
          <w:lang w:eastAsia="zh-CN"/>
        </w:rPr>
        <w:t>并</w:t>
      </w:r>
      <w:r w:rsidR="00F62FE1" w:rsidRPr="00A3267D">
        <w:rPr>
          <w:rFonts w:ascii="Times New Roman" w:hAnsi="Times New Roman" w:cs="Times New Roman"/>
          <w:spacing w:val="-2"/>
          <w:szCs w:val="24"/>
          <w:lang w:eastAsia="zh-CN"/>
        </w:rPr>
        <w:t>形成征求意见稿草案及编制说明。</w:t>
      </w:r>
    </w:p>
    <w:p w14:paraId="7771BCF5" w14:textId="29CE34D7" w:rsidR="0043674F" w:rsidRPr="00A3267D" w:rsidRDefault="0047521D" w:rsidP="00924D51">
      <w:pPr>
        <w:ind w:firstLine="470"/>
        <w:jc w:val="both"/>
        <w:outlineLvl w:val="2"/>
        <w:rPr>
          <w:rFonts w:asciiTheme="minorEastAsia" w:hAnsiTheme="minorEastAsia" w:cs="Times New Roman"/>
          <w:spacing w:val="-2"/>
          <w:szCs w:val="24"/>
          <w:lang w:eastAsia="zh-CN"/>
        </w:rPr>
      </w:pPr>
      <w:r w:rsidRPr="00A3267D">
        <w:rPr>
          <w:rFonts w:asciiTheme="minorEastAsia" w:hAnsiTheme="minorEastAsia" w:cs="Times New Roman"/>
          <w:spacing w:val="-5"/>
          <w:szCs w:val="24"/>
          <w:lang w:eastAsia="zh-CN"/>
        </w:rPr>
        <w:t>2</w:t>
      </w:r>
      <w:r w:rsidR="00B176EC" w:rsidRPr="00A3267D">
        <w:rPr>
          <w:rFonts w:asciiTheme="minorEastAsia" w:hAnsiTheme="minorEastAsia" w:cs="Times New Roman"/>
          <w:spacing w:val="-5"/>
          <w:szCs w:val="24"/>
          <w:lang w:eastAsia="zh-CN"/>
        </w:rPr>
        <w:t>.</w:t>
      </w:r>
      <w:r w:rsidR="00C17775" w:rsidRPr="00A3267D">
        <w:rPr>
          <w:rFonts w:asciiTheme="minorEastAsia" w:hAnsiTheme="minorEastAsia" w:cs="Times New Roman" w:hint="eastAsia"/>
          <w:spacing w:val="-5"/>
          <w:szCs w:val="24"/>
          <w:lang w:eastAsia="zh-CN"/>
        </w:rPr>
        <w:t>规范</w:t>
      </w:r>
      <w:r w:rsidR="00342589" w:rsidRPr="00A3267D">
        <w:rPr>
          <w:rFonts w:asciiTheme="minorEastAsia" w:hAnsiTheme="minorEastAsia" w:cs="Times New Roman"/>
          <w:spacing w:val="-5"/>
          <w:szCs w:val="24"/>
          <w:lang w:eastAsia="zh-CN"/>
        </w:rPr>
        <w:t>分工</w:t>
      </w:r>
    </w:p>
    <w:p w14:paraId="7D142000" w14:textId="02A4369B" w:rsidR="00342589" w:rsidRPr="00A3267D" w:rsidRDefault="00342589" w:rsidP="00924D51">
      <w:pPr>
        <w:ind w:firstLine="480"/>
        <w:jc w:val="both"/>
        <w:rPr>
          <w:szCs w:val="32"/>
          <w:lang w:eastAsia="zh-CN"/>
        </w:rPr>
      </w:pPr>
      <w:r w:rsidRPr="00A3267D">
        <w:rPr>
          <w:szCs w:val="32"/>
          <w:lang w:eastAsia="zh-CN"/>
        </w:rPr>
        <w:t>本</w:t>
      </w:r>
      <w:r w:rsidR="0056285E" w:rsidRPr="00A3267D">
        <w:rPr>
          <w:rFonts w:hint="eastAsia"/>
          <w:szCs w:val="32"/>
          <w:lang w:eastAsia="zh-CN"/>
        </w:rPr>
        <w:t>规范</w:t>
      </w:r>
      <w:r w:rsidRPr="00A3267D">
        <w:rPr>
          <w:szCs w:val="32"/>
          <w:lang w:eastAsia="zh-CN"/>
        </w:rPr>
        <w:t>由</w:t>
      </w:r>
      <w:r w:rsidR="00C1184E" w:rsidRPr="00A3267D">
        <w:rPr>
          <w:rFonts w:hint="eastAsia"/>
          <w:szCs w:val="32"/>
          <w:lang w:eastAsia="zh-CN"/>
        </w:rPr>
        <w:t>华新水泥股份有限公司</w:t>
      </w:r>
      <w:r w:rsidRPr="00A3267D">
        <w:rPr>
          <w:szCs w:val="32"/>
          <w:lang w:eastAsia="zh-CN"/>
        </w:rPr>
        <w:t>、</w:t>
      </w:r>
      <w:r w:rsidR="00B26E8B" w:rsidRPr="00A3267D">
        <w:rPr>
          <w:rFonts w:hint="eastAsia"/>
          <w:szCs w:val="32"/>
          <w:lang w:eastAsia="zh-CN"/>
        </w:rPr>
        <w:t>华新水泥股份有限公司技术研究院</w:t>
      </w:r>
      <w:r w:rsidR="009F7526" w:rsidRPr="00A3267D">
        <w:rPr>
          <w:rFonts w:hint="eastAsia"/>
          <w:szCs w:val="32"/>
          <w:lang w:eastAsia="zh-CN"/>
        </w:rPr>
        <w:t>、</w:t>
      </w:r>
      <w:r w:rsidR="00C1184E" w:rsidRPr="00A3267D">
        <w:rPr>
          <w:rFonts w:hint="eastAsia"/>
          <w:szCs w:val="32"/>
          <w:lang w:eastAsia="zh-CN"/>
        </w:rPr>
        <w:t>中国计量科学研究院、</w:t>
      </w:r>
      <w:r w:rsidR="009F7526" w:rsidRPr="00A3267D">
        <w:rPr>
          <w:rFonts w:hint="eastAsia"/>
          <w:szCs w:val="32"/>
          <w:lang w:eastAsia="zh-CN"/>
        </w:rPr>
        <w:t>湖北省计量测试技术研究院</w:t>
      </w:r>
      <w:r w:rsidRPr="00A3267D">
        <w:rPr>
          <w:szCs w:val="32"/>
          <w:lang w:eastAsia="zh-CN"/>
        </w:rPr>
        <w:t>等相关企业及科研院所负责起草</w:t>
      </w:r>
      <w:r w:rsidRPr="00A3267D">
        <w:rPr>
          <w:rFonts w:hint="eastAsia"/>
          <w:szCs w:val="32"/>
          <w:lang w:eastAsia="zh-CN"/>
        </w:rPr>
        <w:t>、调研和验证工作</w:t>
      </w:r>
      <w:r w:rsidRPr="00A3267D">
        <w:rPr>
          <w:szCs w:val="32"/>
          <w:lang w:eastAsia="zh-CN"/>
        </w:rPr>
        <w:t>。具体分工如下：</w:t>
      </w:r>
    </w:p>
    <w:p w14:paraId="081C9E68" w14:textId="09404116" w:rsidR="00342589" w:rsidRPr="00A3267D" w:rsidRDefault="00342589" w:rsidP="003A2AEA">
      <w:pPr>
        <w:spacing w:beforeLines="50" w:before="120"/>
        <w:ind w:firstLine="482"/>
        <w:jc w:val="center"/>
        <w:rPr>
          <w:b/>
          <w:lang w:eastAsia="zh-CN"/>
        </w:rPr>
      </w:pPr>
      <w:r w:rsidRPr="00A3267D">
        <w:rPr>
          <w:b/>
          <w:lang w:eastAsia="zh-CN"/>
        </w:rPr>
        <w:t>表</w:t>
      </w:r>
      <w:r w:rsidRPr="00A3267D">
        <w:rPr>
          <w:b/>
          <w:lang w:eastAsia="zh-CN"/>
        </w:rPr>
        <w:t xml:space="preserve">2  </w:t>
      </w:r>
      <w:r w:rsidR="003A2AEA" w:rsidRPr="00A3267D">
        <w:rPr>
          <w:rFonts w:hint="eastAsia"/>
          <w:b/>
          <w:lang w:eastAsia="zh-CN"/>
        </w:rPr>
        <w:t>编制</w:t>
      </w:r>
      <w:r w:rsidRPr="00A3267D">
        <w:rPr>
          <w:b/>
          <w:lang w:eastAsia="zh-CN"/>
        </w:rPr>
        <w:t>单位分工</w:t>
      </w:r>
    </w:p>
    <w:tbl>
      <w:tblPr>
        <w:tblStyle w:val="11"/>
        <w:tblW w:w="0" w:type="auto"/>
        <w:tblLook w:val="04A0" w:firstRow="1" w:lastRow="0" w:firstColumn="1" w:lastColumn="0" w:noHBand="0" w:noVBand="1"/>
      </w:tblPr>
      <w:tblGrid>
        <w:gridCol w:w="4125"/>
        <w:gridCol w:w="3925"/>
      </w:tblGrid>
      <w:tr w:rsidR="00342589" w:rsidRPr="00A3267D" w14:paraId="75DFE1A3" w14:textId="77777777" w:rsidTr="00EA7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4CF5BFBE" w14:textId="77777777" w:rsidR="00342589" w:rsidRPr="00A3267D" w:rsidRDefault="00342589" w:rsidP="00924D51">
            <w:pPr>
              <w:ind w:firstLine="482"/>
              <w:jc w:val="both"/>
              <w:rPr>
                <w:b w:val="0"/>
                <w:bCs w:val="0"/>
                <w:szCs w:val="21"/>
              </w:rPr>
            </w:pPr>
            <w:r w:rsidRPr="00A3267D">
              <w:rPr>
                <w:szCs w:val="21"/>
              </w:rPr>
              <w:t>单位名称</w:t>
            </w:r>
          </w:p>
        </w:tc>
        <w:tc>
          <w:tcPr>
            <w:tcW w:w="3925" w:type="dxa"/>
          </w:tcPr>
          <w:p w14:paraId="0AC9AC33" w14:textId="77777777" w:rsidR="00342589" w:rsidRPr="00A3267D" w:rsidRDefault="00342589" w:rsidP="00924D51">
            <w:pPr>
              <w:ind w:firstLine="482"/>
              <w:jc w:val="both"/>
              <w:cnfStyle w:val="100000000000" w:firstRow="1" w:lastRow="0" w:firstColumn="0" w:lastColumn="0" w:oddVBand="0" w:evenVBand="0" w:oddHBand="0" w:evenHBand="0" w:firstRowFirstColumn="0" w:firstRowLastColumn="0" w:lastRowFirstColumn="0" w:lastRowLastColumn="0"/>
              <w:rPr>
                <w:b w:val="0"/>
                <w:bCs w:val="0"/>
                <w:szCs w:val="21"/>
              </w:rPr>
            </w:pPr>
            <w:r w:rsidRPr="00A3267D">
              <w:rPr>
                <w:szCs w:val="21"/>
              </w:rPr>
              <w:t>工作内容</w:t>
            </w:r>
          </w:p>
        </w:tc>
      </w:tr>
      <w:tr w:rsidR="00277497" w:rsidRPr="00A3267D" w14:paraId="22412C86" w14:textId="77777777" w:rsidTr="00EA72A9">
        <w:tc>
          <w:tcPr>
            <w:cnfStyle w:val="001000000000" w:firstRow="0" w:lastRow="0" w:firstColumn="1" w:lastColumn="0" w:oddVBand="0" w:evenVBand="0" w:oddHBand="0" w:evenHBand="0" w:firstRowFirstColumn="0" w:firstRowLastColumn="0" w:lastRowFirstColumn="0" w:lastRowLastColumn="0"/>
            <w:tcW w:w="4125" w:type="dxa"/>
            <w:tcBorders>
              <w:top w:val="single" w:sz="8" w:space="0" w:color="000000" w:themeColor="text1"/>
              <w:bottom w:val="single" w:sz="4" w:space="0" w:color="000000" w:themeColor="text1"/>
            </w:tcBorders>
            <w:vAlign w:val="center"/>
          </w:tcPr>
          <w:p w14:paraId="1998F125" w14:textId="77777777" w:rsidR="00277497" w:rsidRPr="00A3267D" w:rsidRDefault="00277497" w:rsidP="00924D51">
            <w:pPr>
              <w:ind w:firstLine="480"/>
              <w:jc w:val="both"/>
              <w:rPr>
                <w:b w:val="0"/>
                <w:szCs w:val="21"/>
              </w:rPr>
            </w:pPr>
            <w:r w:rsidRPr="00A3267D">
              <w:rPr>
                <w:rFonts w:hint="eastAsia"/>
                <w:b w:val="0"/>
                <w:szCs w:val="21"/>
              </w:rPr>
              <w:t>华新水泥股份有限公司</w:t>
            </w:r>
          </w:p>
          <w:p w14:paraId="28E02480" w14:textId="04DCC34C" w:rsidR="007D47FB" w:rsidRPr="00A3267D" w:rsidRDefault="007D47FB" w:rsidP="00924D51">
            <w:pPr>
              <w:ind w:firstLine="480"/>
              <w:jc w:val="both"/>
              <w:rPr>
                <w:b w:val="0"/>
                <w:szCs w:val="21"/>
              </w:rPr>
            </w:pPr>
            <w:r w:rsidRPr="00A3267D">
              <w:rPr>
                <w:rFonts w:hint="eastAsia"/>
                <w:b w:val="0"/>
                <w:szCs w:val="21"/>
              </w:rPr>
              <w:t>中国计量科学研究院</w:t>
            </w:r>
          </w:p>
        </w:tc>
        <w:tc>
          <w:tcPr>
            <w:tcW w:w="3925" w:type="dxa"/>
            <w:tcBorders>
              <w:top w:val="single" w:sz="8" w:space="0" w:color="000000" w:themeColor="text1"/>
              <w:bottom w:val="single" w:sz="4" w:space="0" w:color="000000" w:themeColor="text1"/>
            </w:tcBorders>
            <w:vAlign w:val="center"/>
          </w:tcPr>
          <w:p w14:paraId="39E506C3" w14:textId="69309AF2" w:rsidR="00277497" w:rsidRPr="00A3267D" w:rsidRDefault="00B76F57" w:rsidP="00924D51">
            <w:pPr>
              <w:ind w:firstLine="480"/>
              <w:jc w:val="both"/>
              <w:cnfStyle w:val="000000000000" w:firstRow="0" w:lastRow="0" w:firstColumn="0" w:lastColumn="0" w:oddVBand="0" w:evenVBand="0" w:oddHBand="0" w:evenHBand="0" w:firstRowFirstColumn="0" w:firstRowLastColumn="0" w:lastRowFirstColumn="0" w:lastRowLastColumn="0"/>
              <w:rPr>
                <w:bCs/>
                <w:szCs w:val="21"/>
              </w:rPr>
            </w:pPr>
            <w:r w:rsidRPr="00A3267D">
              <w:rPr>
                <w:rFonts w:hint="eastAsia"/>
                <w:bCs/>
                <w:szCs w:val="21"/>
              </w:rPr>
              <w:t>规范</w:t>
            </w:r>
            <w:r w:rsidR="00277497" w:rsidRPr="00A3267D">
              <w:rPr>
                <w:rFonts w:hint="eastAsia"/>
                <w:bCs/>
                <w:szCs w:val="21"/>
              </w:rPr>
              <w:t>牵头、</w:t>
            </w:r>
            <w:r w:rsidRPr="00A3267D">
              <w:rPr>
                <w:rFonts w:hint="eastAsia"/>
                <w:bCs/>
                <w:szCs w:val="21"/>
              </w:rPr>
              <w:t>规范</w:t>
            </w:r>
            <w:r w:rsidR="00277497" w:rsidRPr="00A3267D">
              <w:rPr>
                <w:rFonts w:hint="eastAsia"/>
                <w:bCs/>
                <w:szCs w:val="21"/>
              </w:rPr>
              <w:t>框架确定、</w:t>
            </w:r>
            <w:r w:rsidRPr="00A3267D">
              <w:rPr>
                <w:rFonts w:hint="eastAsia"/>
                <w:bCs/>
                <w:szCs w:val="21"/>
              </w:rPr>
              <w:t>规范</w:t>
            </w:r>
            <w:r w:rsidR="00277497" w:rsidRPr="00A3267D">
              <w:rPr>
                <w:rFonts w:hint="eastAsia"/>
                <w:bCs/>
                <w:szCs w:val="21"/>
              </w:rPr>
              <w:t>文本及编制说明起草、征求意见及回复</w:t>
            </w:r>
          </w:p>
        </w:tc>
      </w:tr>
      <w:tr w:rsidR="00277497" w:rsidRPr="00A3267D" w14:paraId="7C352873" w14:textId="77777777" w:rsidTr="0094284E">
        <w:trPr>
          <w:trHeight w:val="605"/>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000000" w:themeColor="text1"/>
              <w:bottom w:val="single" w:sz="4" w:space="0" w:color="000000" w:themeColor="text1"/>
            </w:tcBorders>
            <w:vAlign w:val="center"/>
          </w:tcPr>
          <w:p w14:paraId="3955E7AC" w14:textId="66C7BD75" w:rsidR="00277497" w:rsidRPr="00A3267D" w:rsidRDefault="0081126E" w:rsidP="00924D51">
            <w:pPr>
              <w:ind w:firstLine="480"/>
              <w:jc w:val="both"/>
              <w:rPr>
                <w:b w:val="0"/>
                <w:szCs w:val="21"/>
              </w:rPr>
            </w:pPr>
            <w:r w:rsidRPr="00A3267D">
              <w:rPr>
                <w:rFonts w:hint="eastAsia"/>
                <w:b w:val="0"/>
                <w:szCs w:val="21"/>
              </w:rPr>
              <w:t>华新水泥股份有限公司</w:t>
            </w:r>
          </w:p>
        </w:tc>
        <w:tc>
          <w:tcPr>
            <w:tcW w:w="3925" w:type="dxa"/>
            <w:tcBorders>
              <w:top w:val="single" w:sz="4" w:space="0" w:color="000000" w:themeColor="text1"/>
              <w:bottom w:val="single" w:sz="4" w:space="0" w:color="000000" w:themeColor="text1"/>
            </w:tcBorders>
            <w:vAlign w:val="center"/>
          </w:tcPr>
          <w:p w14:paraId="2FA586E7" w14:textId="0C820E22" w:rsidR="00277497" w:rsidRPr="00A3267D" w:rsidRDefault="00B76F57" w:rsidP="00364747">
            <w:pPr>
              <w:ind w:firstLine="480"/>
              <w:jc w:val="both"/>
              <w:cnfStyle w:val="000000000000" w:firstRow="0" w:lastRow="0" w:firstColumn="0" w:lastColumn="0" w:oddVBand="0" w:evenVBand="0" w:oddHBand="0" w:evenHBand="0" w:firstRowFirstColumn="0" w:firstRowLastColumn="0" w:lastRowFirstColumn="0" w:lastRowLastColumn="0"/>
              <w:rPr>
                <w:bCs/>
                <w:szCs w:val="21"/>
              </w:rPr>
            </w:pPr>
            <w:r w:rsidRPr="00A3267D">
              <w:rPr>
                <w:rFonts w:hint="eastAsia"/>
                <w:bCs/>
                <w:szCs w:val="21"/>
              </w:rPr>
              <w:t>规范</w:t>
            </w:r>
            <w:r w:rsidR="00277497" w:rsidRPr="00A3267D">
              <w:rPr>
                <w:rFonts w:hint="eastAsia"/>
                <w:bCs/>
                <w:szCs w:val="21"/>
              </w:rPr>
              <w:t>文献、</w:t>
            </w:r>
            <w:r w:rsidR="00364747" w:rsidRPr="00A3267D">
              <w:rPr>
                <w:rFonts w:hint="eastAsia"/>
                <w:bCs/>
                <w:szCs w:val="21"/>
              </w:rPr>
              <w:t>碳排放</w:t>
            </w:r>
            <w:r w:rsidR="00277497" w:rsidRPr="00A3267D">
              <w:rPr>
                <w:rFonts w:hint="eastAsia"/>
                <w:bCs/>
                <w:szCs w:val="21"/>
              </w:rPr>
              <w:t>数据</w:t>
            </w:r>
            <w:r w:rsidR="00364747" w:rsidRPr="00A3267D">
              <w:rPr>
                <w:rFonts w:hint="eastAsia"/>
                <w:bCs/>
                <w:szCs w:val="21"/>
              </w:rPr>
              <w:t>不确定度示例评定</w:t>
            </w:r>
            <w:r w:rsidR="00277497" w:rsidRPr="00A3267D">
              <w:rPr>
                <w:rFonts w:hint="eastAsia"/>
                <w:bCs/>
                <w:szCs w:val="21"/>
              </w:rPr>
              <w:t>工作</w:t>
            </w:r>
          </w:p>
        </w:tc>
      </w:tr>
      <w:tr w:rsidR="00342589" w:rsidRPr="00A3267D" w14:paraId="5FF86653" w14:textId="77777777" w:rsidTr="0094284E">
        <w:trPr>
          <w:trHeight w:val="656"/>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000000" w:themeColor="text1"/>
              <w:bottom w:val="single" w:sz="8" w:space="0" w:color="000000" w:themeColor="text1"/>
            </w:tcBorders>
            <w:vAlign w:val="center"/>
          </w:tcPr>
          <w:p w14:paraId="5671EAF3" w14:textId="7B7E6F19" w:rsidR="00250AA2" w:rsidRPr="00A3267D" w:rsidRDefault="00250AA2" w:rsidP="00924D51">
            <w:pPr>
              <w:ind w:firstLine="480"/>
              <w:jc w:val="both"/>
              <w:rPr>
                <w:b w:val="0"/>
                <w:szCs w:val="21"/>
              </w:rPr>
            </w:pPr>
            <w:r w:rsidRPr="00A3267D">
              <w:rPr>
                <w:rFonts w:hint="eastAsia"/>
                <w:b w:val="0"/>
                <w:szCs w:val="21"/>
              </w:rPr>
              <w:t>华新水泥股份有限公司</w:t>
            </w:r>
            <w:r w:rsidR="00DE4571" w:rsidRPr="00A3267D">
              <w:rPr>
                <w:rFonts w:hint="eastAsia"/>
                <w:b w:val="0"/>
                <w:szCs w:val="21"/>
              </w:rPr>
              <w:t>技术研究院</w:t>
            </w:r>
          </w:p>
          <w:p w14:paraId="7EA34F46" w14:textId="17BC1C48" w:rsidR="00342589" w:rsidRPr="00A3267D" w:rsidRDefault="009F7526" w:rsidP="00205A83">
            <w:pPr>
              <w:ind w:firstLine="480"/>
              <w:jc w:val="both"/>
              <w:rPr>
                <w:bCs w:val="0"/>
                <w:szCs w:val="21"/>
              </w:rPr>
            </w:pPr>
            <w:r w:rsidRPr="00A3267D">
              <w:rPr>
                <w:rFonts w:hint="eastAsia"/>
                <w:b w:val="0"/>
                <w:szCs w:val="21"/>
              </w:rPr>
              <w:t>湖北省计量测试技术研究院</w:t>
            </w:r>
          </w:p>
        </w:tc>
        <w:tc>
          <w:tcPr>
            <w:tcW w:w="3925" w:type="dxa"/>
            <w:tcBorders>
              <w:top w:val="single" w:sz="4" w:space="0" w:color="000000" w:themeColor="text1"/>
              <w:bottom w:val="single" w:sz="8" w:space="0" w:color="000000" w:themeColor="text1"/>
            </w:tcBorders>
            <w:vAlign w:val="center"/>
          </w:tcPr>
          <w:p w14:paraId="5A2531E8" w14:textId="089B09A1" w:rsidR="00342589" w:rsidRPr="00A3267D" w:rsidRDefault="00250AA2" w:rsidP="00924D51">
            <w:pPr>
              <w:ind w:firstLine="480"/>
              <w:jc w:val="both"/>
              <w:cnfStyle w:val="000000000000" w:firstRow="0" w:lastRow="0" w:firstColumn="0" w:lastColumn="0" w:oddVBand="0" w:evenVBand="0" w:oddHBand="0" w:evenHBand="0" w:firstRowFirstColumn="0" w:firstRowLastColumn="0" w:lastRowFirstColumn="0" w:lastRowLastColumn="0"/>
            </w:pPr>
            <w:r w:rsidRPr="00A3267D">
              <w:rPr>
                <w:rFonts w:hint="eastAsia"/>
              </w:rPr>
              <w:t>负责</w:t>
            </w:r>
            <w:r w:rsidR="00B76F57" w:rsidRPr="00A3267D">
              <w:rPr>
                <w:rFonts w:hint="eastAsia"/>
              </w:rPr>
              <w:t>规范</w:t>
            </w:r>
            <w:r w:rsidRPr="00A3267D">
              <w:rPr>
                <w:rFonts w:hint="eastAsia"/>
              </w:rPr>
              <w:t>调研、校验等工作</w:t>
            </w:r>
          </w:p>
        </w:tc>
      </w:tr>
    </w:tbl>
    <w:p w14:paraId="2C0184B9" w14:textId="77777777" w:rsidR="00342589" w:rsidRPr="00A3267D" w:rsidRDefault="00342589" w:rsidP="00C440CE">
      <w:pPr>
        <w:ind w:firstLine="476"/>
        <w:jc w:val="both"/>
        <w:rPr>
          <w:rFonts w:ascii="Times New Roman" w:hAnsi="Times New Roman" w:cs="Times New Roman"/>
          <w:spacing w:val="-2"/>
          <w:szCs w:val="24"/>
          <w:lang w:eastAsia="zh-CN"/>
        </w:rPr>
      </w:pPr>
    </w:p>
    <w:p w14:paraId="4EF1E3DA" w14:textId="77777777" w:rsidR="00634DB9" w:rsidRPr="00A3267D" w:rsidRDefault="007B7ADF" w:rsidP="00924D51">
      <w:pPr>
        <w:pStyle w:val="1"/>
        <w:spacing w:before="0" w:after="0" w:line="360" w:lineRule="auto"/>
        <w:ind w:firstLine="480"/>
        <w:jc w:val="both"/>
        <w:rPr>
          <w:rFonts w:ascii="黑体" w:eastAsia="黑体" w:hAnsi="黑体"/>
          <w:b w:val="0"/>
          <w:sz w:val="24"/>
          <w:szCs w:val="24"/>
          <w:lang w:eastAsia="zh-CN"/>
        </w:rPr>
      </w:pPr>
      <w:r w:rsidRPr="00A3267D">
        <w:rPr>
          <w:rFonts w:ascii="黑体" w:eastAsia="黑体" w:hAnsi="黑体"/>
          <w:b w:val="0"/>
          <w:sz w:val="24"/>
          <w:szCs w:val="24"/>
          <w:lang w:eastAsia="zh-CN"/>
        </w:rPr>
        <w:t>三、规范编制依据（包括重要技术条款的依据和有关说明）</w:t>
      </w:r>
    </w:p>
    <w:p w14:paraId="30BEEF86" w14:textId="0921F0E8" w:rsidR="00557B9F" w:rsidRPr="00A3267D" w:rsidRDefault="00557B9F" w:rsidP="00924D51">
      <w:pPr>
        <w:ind w:firstLine="474"/>
        <w:jc w:val="both"/>
        <w:rPr>
          <w:rFonts w:ascii="Times New Roman" w:eastAsia="宋体" w:hAnsi="Times New Roman" w:cs="Times New Roman"/>
          <w:spacing w:val="-3"/>
          <w:szCs w:val="24"/>
          <w:lang w:eastAsia="zh-CN"/>
        </w:rPr>
      </w:pPr>
      <w:r w:rsidRPr="00A3267D">
        <w:rPr>
          <w:rFonts w:ascii="Times New Roman" w:eastAsia="宋体" w:hAnsi="Times New Roman" w:cs="Times New Roman"/>
          <w:spacing w:val="-3"/>
          <w:szCs w:val="24"/>
          <w:lang w:eastAsia="zh-CN"/>
        </w:rPr>
        <w:t>本规范根据</w:t>
      </w:r>
      <w:r w:rsidRPr="00A3267D">
        <w:rPr>
          <w:rFonts w:ascii="Times New Roman" w:eastAsia="宋体" w:hAnsi="Times New Roman" w:cs="Times New Roman"/>
          <w:spacing w:val="-3"/>
          <w:szCs w:val="24"/>
          <w:lang w:eastAsia="zh-CN"/>
        </w:rPr>
        <w:t xml:space="preserve"> JJF 1071</w:t>
      </w:r>
      <w:r w:rsidRPr="00A3267D">
        <w:rPr>
          <w:rFonts w:ascii="Times New Roman" w:eastAsia="宋体" w:hAnsi="Times New Roman" w:cs="Times New Roman"/>
          <w:spacing w:val="-3"/>
          <w:szCs w:val="24"/>
          <w:lang w:eastAsia="zh-CN"/>
        </w:rPr>
        <w:t>《国家计量校准规范编写规则》、</w:t>
      </w:r>
      <w:r w:rsidRPr="00A3267D">
        <w:rPr>
          <w:rFonts w:ascii="Times New Roman" w:eastAsia="宋体" w:hAnsi="Times New Roman" w:cs="Times New Roman"/>
          <w:spacing w:val="-3"/>
          <w:szCs w:val="24"/>
          <w:lang w:eastAsia="zh-CN"/>
        </w:rPr>
        <w:t>JJF</w:t>
      </w:r>
      <w:r w:rsidR="00633DA4" w:rsidRPr="00A3267D">
        <w:rPr>
          <w:rFonts w:ascii="Times New Roman" w:eastAsia="宋体" w:hAnsi="Times New Roman" w:cs="Times New Roman" w:hint="eastAsia"/>
          <w:spacing w:val="-3"/>
          <w:szCs w:val="24"/>
          <w:lang w:eastAsia="zh-CN"/>
        </w:rPr>
        <w:t xml:space="preserve"> </w:t>
      </w:r>
      <w:r w:rsidRPr="00A3267D">
        <w:rPr>
          <w:rFonts w:ascii="Times New Roman" w:eastAsia="宋体" w:hAnsi="Times New Roman" w:cs="Times New Roman"/>
          <w:spacing w:val="-3"/>
          <w:szCs w:val="24"/>
          <w:lang w:eastAsia="zh-CN"/>
        </w:rPr>
        <w:t>100</w:t>
      </w:r>
      <w:r w:rsidR="006E0FF4" w:rsidRPr="00A3267D">
        <w:rPr>
          <w:rFonts w:ascii="Times New Roman" w:eastAsia="宋体" w:hAnsi="Times New Roman" w:cs="Times New Roman"/>
          <w:spacing w:val="-3"/>
          <w:szCs w:val="24"/>
          <w:lang w:eastAsia="zh-CN"/>
        </w:rPr>
        <w:t>2</w:t>
      </w:r>
      <w:r w:rsidRPr="00A3267D">
        <w:rPr>
          <w:rFonts w:ascii="Times New Roman" w:eastAsia="宋体" w:hAnsi="Times New Roman" w:cs="Times New Roman"/>
          <w:spacing w:val="-3"/>
          <w:szCs w:val="24"/>
          <w:lang w:eastAsia="zh-CN"/>
        </w:rPr>
        <w:t>《</w:t>
      </w:r>
      <w:r w:rsidR="006E0FF4" w:rsidRPr="00A3267D">
        <w:rPr>
          <w:rFonts w:ascii="Times New Roman" w:eastAsia="宋体" w:hAnsi="Times New Roman" w:cs="Times New Roman"/>
          <w:spacing w:val="-3"/>
          <w:szCs w:val="24"/>
          <w:lang w:eastAsia="zh-CN"/>
        </w:rPr>
        <w:t>国家计量检定规程编写规则</w:t>
      </w:r>
      <w:r w:rsidRPr="00A3267D">
        <w:rPr>
          <w:rFonts w:ascii="Times New Roman" w:eastAsia="宋体" w:hAnsi="Times New Roman" w:cs="Times New Roman"/>
          <w:spacing w:val="-3"/>
          <w:szCs w:val="24"/>
          <w:lang w:eastAsia="zh-CN"/>
        </w:rPr>
        <w:t>》规定的规则编写。</w:t>
      </w:r>
    </w:p>
    <w:p w14:paraId="27F7AC8A" w14:textId="5C68052D" w:rsidR="000C4CDF" w:rsidRPr="00A3267D" w:rsidRDefault="00557B9F" w:rsidP="00C97BE1">
      <w:pPr>
        <w:ind w:firstLine="474"/>
        <w:jc w:val="both"/>
        <w:rPr>
          <w:rFonts w:asciiTheme="minorEastAsia" w:hAnsiTheme="minorEastAsia" w:cs="Times New Roman"/>
          <w:spacing w:val="-3"/>
          <w:szCs w:val="24"/>
          <w:lang w:eastAsia="zh-CN"/>
        </w:rPr>
      </w:pPr>
      <w:r w:rsidRPr="00A3267D">
        <w:rPr>
          <w:rFonts w:asciiTheme="minorEastAsia" w:hAnsiTheme="minorEastAsia" w:cs="Times New Roman"/>
          <w:spacing w:val="-3"/>
          <w:szCs w:val="24"/>
          <w:lang w:eastAsia="zh-CN"/>
        </w:rPr>
        <w:t>本规范为首次制定，在制定过程中充分参考了</w:t>
      </w:r>
      <w:r w:rsidR="00680314" w:rsidRPr="00A3267D">
        <w:rPr>
          <w:rFonts w:asciiTheme="minorEastAsia" w:hAnsiTheme="minorEastAsia" w:cs="Times New Roman" w:hint="eastAsia"/>
          <w:spacing w:val="-3"/>
          <w:szCs w:val="24"/>
          <w:lang w:eastAsia="zh-CN"/>
        </w:rPr>
        <w:t>《企业温室气体排放核算与报告指南 水泥行业》（CETS-AG-02.01-V01-2024）、</w:t>
      </w:r>
      <w:r w:rsidR="0050620D" w:rsidRPr="00A3267D">
        <w:rPr>
          <w:rFonts w:asciiTheme="minorEastAsia" w:hAnsiTheme="minorEastAsia" w:cs="Times New Roman" w:hint="eastAsia"/>
          <w:spacing w:val="-3"/>
          <w:szCs w:val="24"/>
          <w:lang w:eastAsia="zh-CN"/>
        </w:rPr>
        <w:t>GB/T</w:t>
      </w:r>
      <w:r w:rsidR="00D92C27" w:rsidRPr="00A3267D">
        <w:rPr>
          <w:rFonts w:asciiTheme="minorEastAsia" w:hAnsiTheme="minorEastAsia" w:cs="Times New Roman"/>
          <w:spacing w:val="-3"/>
          <w:szCs w:val="24"/>
          <w:lang w:eastAsia="zh-CN"/>
        </w:rPr>
        <w:t xml:space="preserve"> </w:t>
      </w:r>
      <w:r w:rsidR="0050620D" w:rsidRPr="00A3267D">
        <w:rPr>
          <w:rFonts w:asciiTheme="minorEastAsia" w:hAnsiTheme="minorEastAsia" w:cs="Times New Roman" w:hint="eastAsia"/>
          <w:spacing w:val="-3"/>
          <w:szCs w:val="24"/>
          <w:lang w:eastAsia="zh-CN"/>
        </w:rPr>
        <w:t>10184《电站锅炉性能试验规程》、</w:t>
      </w:r>
      <w:r w:rsidR="00E25120" w:rsidRPr="00A3267D">
        <w:rPr>
          <w:rFonts w:asciiTheme="minorEastAsia" w:hAnsiTheme="minorEastAsia" w:cs="Times New Roman"/>
          <w:spacing w:val="-3"/>
          <w:szCs w:val="24"/>
          <w:lang w:eastAsia="zh-CN"/>
        </w:rPr>
        <w:t>GB/T 21372</w:t>
      </w:r>
      <w:r w:rsidR="00E23936" w:rsidRPr="00A3267D">
        <w:rPr>
          <w:rFonts w:asciiTheme="minorEastAsia" w:hAnsiTheme="minorEastAsia" w:cs="Times New Roman"/>
          <w:spacing w:val="-3"/>
          <w:szCs w:val="24"/>
          <w:lang w:eastAsia="zh-CN"/>
        </w:rPr>
        <w:t>《硅酸盐水泥熟料》、</w:t>
      </w:r>
      <w:r w:rsidR="005931DA" w:rsidRPr="00A3267D">
        <w:rPr>
          <w:rFonts w:asciiTheme="minorEastAsia" w:hAnsiTheme="minorEastAsia" w:cs="Times New Roman" w:hint="eastAsia"/>
          <w:spacing w:val="-3"/>
          <w:szCs w:val="24"/>
          <w:lang w:eastAsia="zh-CN"/>
        </w:rPr>
        <w:t>GB/T 27418《测量不确定度评定和表示》</w:t>
      </w:r>
      <w:r w:rsidR="00E23936" w:rsidRPr="00A3267D">
        <w:rPr>
          <w:rFonts w:asciiTheme="minorEastAsia" w:hAnsiTheme="minorEastAsia" w:cs="Times New Roman"/>
          <w:spacing w:val="-3"/>
          <w:szCs w:val="24"/>
          <w:lang w:eastAsia="zh-CN"/>
        </w:rPr>
        <w:t>、</w:t>
      </w:r>
      <w:r w:rsidR="00E25120" w:rsidRPr="00A3267D">
        <w:rPr>
          <w:rFonts w:asciiTheme="minorEastAsia" w:hAnsiTheme="minorEastAsia" w:cs="Times New Roman"/>
          <w:spacing w:val="-3"/>
          <w:szCs w:val="24"/>
          <w:lang w:eastAsia="zh-CN"/>
        </w:rPr>
        <w:t>GB/T 32151.8</w:t>
      </w:r>
      <w:r w:rsidR="00E23936" w:rsidRPr="00A3267D">
        <w:rPr>
          <w:rFonts w:asciiTheme="minorEastAsia" w:hAnsiTheme="minorEastAsia" w:cs="Times New Roman"/>
          <w:spacing w:val="-3"/>
          <w:szCs w:val="24"/>
          <w:lang w:eastAsia="zh-CN"/>
        </w:rPr>
        <w:t>《碳排放核算与报告要求第8</w:t>
      </w:r>
      <w:r w:rsidR="002D5868" w:rsidRPr="00A3267D">
        <w:rPr>
          <w:rFonts w:asciiTheme="minorEastAsia" w:hAnsiTheme="minorEastAsia" w:cs="Times New Roman"/>
          <w:spacing w:val="-3"/>
          <w:szCs w:val="24"/>
          <w:lang w:eastAsia="zh-CN"/>
        </w:rPr>
        <w:t>部分：水泥生产企业》</w:t>
      </w:r>
      <w:r w:rsidR="00E23936" w:rsidRPr="00A3267D">
        <w:rPr>
          <w:rFonts w:asciiTheme="minorEastAsia" w:hAnsiTheme="minorEastAsia" w:cs="Times New Roman"/>
          <w:spacing w:val="-3"/>
          <w:szCs w:val="24"/>
          <w:lang w:eastAsia="zh-CN"/>
        </w:rPr>
        <w:t>、</w:t>
      </w:r>
      <w:r w:rsidR="009D67B9" w:rsidRPr="00A3267D">
        <w:rPr>
          <w:rFonts w:asciiTheme="minorEastAsia" w:hAnsiTheme="minorEastAsia" w:cs="Times New Roman" w:hint="eastAsia"/>
          <w:spacing w:val="-3"/>
          <w:szCs w:val="24"/>
          <w:lang w:eastAsia="zh-CN"/>
        </w:rPr>
        <w:lastRenderedPageBreak/>
        <w:t>JJF（建材）216-2024</w:t>
      </w:r>
      <w:r w:rsidR="009B4D2D" w:rsidRPr="00A3267D">
        <w:rPr>
          <w:rFonts w:asciiTheme="minorEastAsia" w:hAnsiTheme="minorEastAsia" w:cs="Times New Roman" w:hint="eastAsia"/>
          <w:spacing w:val="-3"/>
          <w:szCs w:val="24"/>
          <w:lang w:eastAsia="zh-CN"/>
        </w:rPr>
        <w:t>《建材行业二氧化碳在线监测系统校准规范》、</w:t>
      </w:r>
      <w:r w:rsidR="000C3CE1" w:rsidRPr="00A3267D">
        <w:rPr>
          <w:rFonts w:asciiTheme="minorEastAsia" w:hAnsiTheme="minorEastAsia" w:cs="Times New Roman" w:hint="eastAsia"/>
          <w:spacing w:val="-3"/>
          <w:szCs w:val="24"/>
          <w:lang w:eastAsia="zh-CN"/>
        </w:rPr>
        <w:t>JJF 1059.1《测量不确定度评定与表示》</w:t>
      </w:r>
      <w:r w:rsidR="00C97BE1" w:rsidRPr="00A3267D">
        <w:rPr>
          <w:rFonts w:asciiTheme="minorEastAsia" w:hAnsiTheme="minorEastAsia" w:cs="Times New Roman" w:hint="eastAsia"/>
          <w:spacing w:val="-3"/>
          <w:szCs w:val="24"/>
          <w:lang w:eastAsia="zh-CN"/>
        </w:rPr>
        <w:t>、HJ 75《固定污染源烟气（SO</w:t>
      </w:r>
      <w:r w:rsidR="00C97BE1" w:rsidRPr="00A3267D">
        <w:rPr>
          <w:rFonts w:asciiTheme="minorEastAsia" w:hAnsiTheme="minorEastAsia" w:cs="Times New Roman" w:hint="eastAsia"/>
          <w:spacing w:val="-3"/>
          <w:szCs w:val="24"/>
          <w:vertAlign w:val="subscript"/>
          <w:lang w:eastAsia="zh-CN"/>
        </w:rPr>
        <w:t>2</w:t>
      </w:r>
      <w:r w:rsidR="00C97BE1" w:rsidRPr="00A3267D">
        <w:rPr>
          <w:rFonts w:asciiTheme="minorEastAsia" w:hAnsiTheme="minorEastAsia" w:cs="Times New Roman" w:hint="eastAsia"/>
          <w:spacing w:val="-3"/>
          <w:szCs w:val="24"/>
          <w:lang w:eastAsia="zh-CN"/>
        </w:rPr>
        <w:t>、NO</w:t>
      </w:r>
      <w:r w:rsidR="00C97BE1" w:rsidRPr="00A3267D">
        <w:rPr>
          <w:rFonts w:asciiTheme="minorEastAsia" w:hAnsiTheme="minorEastAsia" w:cs="Times New Roman" w:hint="eastAsia"/>
          <w:spacing w:val="-3"/>
          <w:szCs w:val="24"/>
          <w:vertAlign w:val="subscript"/>
          <w:lang w:eastAsia="zh-CN"/>
        </w:rPr>
        <w:t>X</w:t>
      </w:r>
      <w:r w:rsidR="00C97BE1" w:rsidRPr="00A3267D">
        <w:rPr>
          <w:rFonts w:asciiTheme="minorEastAsia" w:hAnsiTheme="minorEastAsia" w:cs="Times New Roman" w:hint="eastAsia"/>
          <w:spacing w:val="-3"/>
          <w:szCs w:val="24"/>
          <w:lang w:eastAsia="zh-CN"/>
        </w:rPr>
        <w:t>、颗粒物）排放连续监测技术规范》</w:t>
      </w:r>
      <w:r w:rsidR="00DA44B1" w:rsidRPr="00A3267D">
        <w:rPr>
          <w:rFonts w:asciiTheme="minorEastAsia" w:hAnsiTheme="minorEastAsia" w:cs="Times New Roman" w:hint="eastAsia"/>
          <w:spacing w:val="-3"/>
          <w:szCs w:val="24"/>
          <w:lang w:eastAsia="zh-CN"/>
        </w:rPr>
        <w:t>、</w:t>
      </w:r>
      <w:r w:rsidR="00DA44B1" w:rsidRPr="00A3267D">
        <w:rPr>
          <w:rFonts w:asciiTheme="minorEastAsia" w:hAnsiTheme="minorEastAsia" w:cs="Times New Roman" w:hint="eastAsia"/>
          <w:spacing w:val="-1"/>
          <w:szCs w:val="24"/>
          <w:lang w:eastAsia="zh-CN"/>
        </w:rPr>
        <w:t>JJF(鄂)150</w:t>
      </w:r>
      <w:r w:rsidR="00DA44B1" w:rsidRPr="00A3267D">
        <w:rPr>
          <w:rFonts w:asciiTheme="minorEastAsia" w:hAnsiTheme="minorEastAsia" w:cs="Times New Roman"/>
          <w:spacing w:val="-1"/>
          <w:szCs w:val="24"/>
          <w:lang w:eastAsia="zh-CN"/>
        </w:rPr>
        <w:t>《</w:t>
      </w:r>
      <w:r w:rsidR="00DA44B1" w:rsidRPr="00A3267D">
        <w:rPr>
          <w:rFonts w:asciiTheme="minorEastAsia" w:hAnsiTheme="minorEastAsia" w:cs="Times New Roman" w:hint="eastAsia"/>
          <w:spacing w:val="-1"/>
          <w:szCs w:val="24"/>
          <w:lang w:eastAsia="zh-CN"/>
        </w:rPr>
        <w:t>电力行业碳计量技术规范不确定度评定</w:t>
      </w:r>
      <w:r w:rsidR="00DA44B1" w:rsidRPr="00A3267D">
        <w:rPr>
          <w:rFonts w:asciiTheme="minorEastAsia" w:hAnsiTheme="minorEastAsia" w:cs="Times New Roman"/>
          <w:spacing w:val="-1"/>
          <w:szCs w:val="24"/>
          <w:lang w:eastAsia="zh-CN"/>
        </w:rPr>
        <w:t>》</w:t>
      </w:r>
      <w:r w:rsidR="00E23936" w:rsidRPr="00A3267D">
        <w:rPr>
          <w:rFonts w:asciiTheme="minorEastAsia" w:hAnsiTheme="minorEastAsia" w:cs="Times New Roman"/>
          <w:spacing w:val="-3"/>
          <w:szCs w:val="24"/>
          <w:lang w:eastAsia="zh-CN"/>
        </w:rPr>
        <w:t>等相关技术要求</w:t>
      </w:r>
      <w:r w:rsidR="005B14AD" w:rsidRPr="00A3267D">
        <w:rPr>
          <w:rFonts w:asciiTheme="minorEastAsia" w:hAnsiTheme="minorEastAsia" w:cs="Times New Roman"/>
          <w:spacing w:val="-3"/>
          <w:szCs w:val="24"/>
          <w:lang w:eastAsia="zh-CN"/>
        </w:rPr>
        <w:t>，其中不注日期的引用文件，其最新版本（包括所有的修改单）适用于本规范</w:t>
      </w:r>
      <w:r w:rsidR="007B7ADF" w:rsidRPr="00A3267D">
        <w:rPr>
          <w:rFonts w:asciiTheme="minorEastAsia" w:hAnsiTheme="minorEastAsia" w:cs="Times New Roman"/>
          <w:spacing w:val="-1"/>
          <w:szCs w:val="24"/>
          <w:lang w:eastAsia="zh-CN"/>
        </w:rPr>
        <w:t>。</w:t>
      </w:r>
    </w:p>
    <w:p w14:paraId="63A30133" w14:textId="77777777" w:rsidR="00634DB9" w:rsidRPr="00A3267D" w:rsidRDefault="007B7ADF" w:rsidP="00924D51">
      <w:pPr>
        <w:pStyle w:val="1"/>
        <w:spacing w:before="0" w:after="0" w:line="360" w:lineRule="auto"/>
        <w:ind w:firstLine="480"/>
        <w:jc w:val="both"/>
        <w:rPr>
          <w:rFonts w:eastAsia="宋体"/>
          <w:spacing w:val="-3"/>
          <w:lang w:eastAsia="zh-CN"/>
        </w:rPr>
      </w:pPr>
      <w:r w:rsidRPr="00A3267D">
        <w:rPr>
          <w:rFonts w:ascii="黑体" w:eastAsia="黑体" w:hAnsi="黑体"/>
          <w:b w:val="0"/>
          <w:sz w:val="24"/>
          <w:szCs w:val="24"/>
          <w:lang w:eastAsia="zh-CN"/>
        </w:rPr>
        <w:t>四、编制的主要内容（包括对重大分歧意见的处理结果和依据等）</w:t>
      </w:r>
    </w:p>
    <w:p w14:paraId="7F71DDE9" w14:textId="70EC2E1C" w:rsidR="00634DB9" w:rsidRPr="00A3267D" w:rsidRDefault="007B7ADF" w:rsidP="00924D51">
      <w:pPr>
        <w:ind w:firstLine="470"/>
        <w:jc w:val="both"/>
        <w:outlineLvl w:val="2"/>
        <w:rPr>
          <w:rFonts w:asciiTheme="minorEastAsia" w:hAnsiTheme="minorEastAsia" w:cs="Times New Roman"/>
          <w:szCs w:val="24"/>
          <w:lang w:eastAsia="zh-CN"/>
        </w:rPr>
      </w:pPr>
      <w:r w:rsidRPr="00A3267D">
        <w:rPr>
          <w:rFonts w:asciiTheme="minorEastAsia" w:hAnsiTheme="minorEastAsia" w:cs="Times New Roman"/>
          <w:spacing w:val="-5"/>
          <w:szCs w:val="24"/>
          <w:lang w:eastAsia="zh-CN"/>
        </w:rPr>
        <w:t>1</w:t>
      </w:r>
      <w:r w:rsidR="00B176EC" w:rsidRPr="00A3267D">
        <w:rPr>
          <w:rFonts w:asciiTheme="minorEastAsia" w:hAnsiTheme="minorEastAsia" w:cs="Times New Roman"/>
          <w:spacing w:val="-5"/>
          <w:szCs w:val="24"/>
          <w:lang w:eastAsia="zh-CN"/>
        </w:rPr>
        <w:t>.</w:t>
      </w:r>
      <w:r w:rsidRPr="00A3267D">
        <w:rPr>
          <w:rFonts w:asciiTheme="minorEastAsia" w:hAnsiTheme="minorEastAsia" w:cs="Times New Roman"/>
          <w:spacing w:val="-5"/>
          <w:szCs w:val="24"/>
          <w:lang w:eastAsia="zh-CN"/>
        </w:rPr>
        <w:t>关于范围</w:t>
      </w:r>
    </w:p>
    <w:p w14:paraId="1BAA3FF7" w14:textId="5610E4C4" w:rsidR="00634DB9" w:rsidRPr="00A3267D" w:rsidRDefault="00E43A0B" w:rsidP="00E43A0B">
      <w:pPr>
        <w:pStyle w:val="ad"/>
        <w:ind w:firstLine="474"/>
        <w:jc w:val="both"/>
        <w:rPr>
          <w:rFonts w:asciiTheme="minorEastAsia" w:eastAsiaTheme="minorEastAsia" w:hAnsiTheme="minorEastAsia" w:cs="Times New Roman"/>
          <w:spacing w:val="-3"/>
          <w:szCs w:val="24"/>
          <w:lang w:eastAsia="zh-CN"/>
        </w:rPr>
      </w:pPr>
      <w:r w:rsidRPr="00A3267D">
        <w:rPr>
          <w:rFonts w:asciiTheme="minorEastAsia" w:eastAsiaTheme="minorEastAsia" w:hAnsiTheme="minorEastAsia" w:cs="Times New Roman" w:hint="eastAsia"/>
          <w:spacing w:val="-3"/>
          <w:szCs w:val="24"/>
          <w:lang w:eastAsia="zh-CN"/>
        </w:rPr>
        <w:t>本规范规定了水泥行业碳计量标准体系中，关于水泥行业碳排放量不确定度评定技术要求。包括不确定度评定技术要求；烟气直测法碳排放量不确定度评定技术要求；</w:t>
      </w:r>
      <w:r w:rsidR="00E576F9" w:rsidRPr="00A3267D">
        <w:rPr>
          <w:rFonts w:ascii="Times New Roman" w:eastAsia="宋体" w:hAnsi="Times New Roman" w:cs="Times New Roman" w:hint="eastAsia"/>
          <w:spacing w:val="-3"/>
          <w:szCs w:val="24"/>
          <w:lang w:eastAsia="zh-CN"/>
        </w:rPr>
        <w:t>标准计算法（核算法）</w:t>
      </w:r>
      <w:r w:rsidRPr="00A3267D">
        <w:rPr>
          <w:rFonts w:asciiTheme="minorEastAsia" w:eastAsiaTheme="minorEastAsia" w:hAnsiTheme="minorEastAsia" w:cs="Times New Roman" w:hint="eastAsia"/>
          <w:spacing w:val="-3"/>
          <w:szCs w:val="24"/>
          <w:lang w:eastAsia="zh-CN"/>
        </w:rPr>
        <w:t>碳排放量不确定度评定技术要求。</w:t>
      </w:r>
    </w:p>
    <w:p w14:paraId="4690C7B0" w14:textId="360998EA" w:rsidR="00E43A0B" w:rsidRPr="00A3267D" w:rsidRDefault="00E43A0B" w:rsidP="00E43A0B">
      <w:pPr>
        <w:pStyle w:val="ad"/>
        <w:ind w:firstLine="474"/>
        <w:jc w:val="both"/>
        <w:rPr>
          <w:rFonts w:asciiTheme="minorEastAsia" w:eastAsiaTheme="minorEastAsia" w:hAnsiTheme="minorEastAsia" w:cs="Times New Roman"/>
          <w:spacing w:val="-3"/>
          <w:szCs w:val="24"/>
          <w:lang w:eastAsia="zh-CN"/>
        </w:rPr>
      </w:pPr>
      <w:r w:rsidRPr="00A3267D">
        <w:rPr>
          <w:rFonts w:asciiTheme="minorEastAsia" w:eastAsiaTheme="minorEastAsia" w:hAnsiTheme="minorEastAsia" w:cs="Times New Roman" w:hint="eastAsia"/>
          <w:spacing w:val="-3"/>
          <w:szCs w:val="24"/>
          <w:lang w:eastAsia="zh-CN"/>
        </w:rPr>
        <w:t>本规范适用于以熟料生产为主营业务的通用水泥熟料生产企业，其他品种水泥熟料生产企业可参考执行。</w:t>
      </w:r>
    </w:p>
    <w:p w14:paraId="6D649B54" w14:textId="0FCB1D3D" w:rsidR="00634DB9" w:rsidRPr="00A3267D" w:rsidRDefault="007B7ADF" w:rsidP="00924D51">
      <w:pPr>
        <w:ind w:firstLine="470"/>
        <w:jc w:val="both"/>
        <w:outlineLvl w:val="2"/>
        <w:rPr>
          <w:rFonts w:ascii="Times New Roman" w:eastAsia="宋体" w:hAnsi="Times New Roman" w:cs="Times New Roman"/>
          <w:spacing w:val="-5"/>
          <w:szCs w:val="24"/>
          <w:lang w:eastAsia="zh-CN"/>
        </w:rPr>
      </w:pPr>
      <w:r w:rsidRPr="00A3267D">
        <w:rPr>
          <w:rFonts w:asciiTheme="minorEastAsia" w:hAnsiTheme="minorEastAsia" w:cs="Times New Roman"/>
          <w:spacing w:val="-5"/>
          <w:szCs w:val="24"/>
          <w:lang w:eastAsia="zh-CN"/>
        </w:rPr>
        <w:t>2</w:t>
      </w:r>
      <w:r w:rsidR="00B176EC" w:rsidRPr="00A3267D">
        <w:rPr>
          <w:rFonts w:asciiTheme="minorEastAsia" w:hAnsiTheme="minorEastAsia" w:cs="Times New Roman"/>
          <w:spacing w:val="-5"/>
          <w:szCs w:val="24"/>
          <w:lang w:eastAsia="zh-CN"/>
        </w:rPr>
        <w:t>.</w:t>
      </w:r>
      <w:r w:rsidRPr="00A3267D">
        <w:rPr>
          <w:rFonts w:asciiTheme="minorEastAsia" w:hAnsiTheme="minorEastAsia" w:cs="Times New Roman"/>
          <w:spacing w:val="-5"/>
          <w:szCs w:val="24"/>
          <w:lang w:eastAsia="zh-CN"/>
        </w:rPr>
        <w:t>关于引用文件</w:t>
      </w:r>
    </w:p>
    <w:p w14:paraId="47A7D2FC" w14:textId="171ECB1C" w:rsidR="00FF1431" w:rsidRPr="00A3267D" w:rsidRDefault="005A3F44" w:rsidP="00DE2FDF">
      <w:pPr>
        <w:ind w:firstLine="466"/>
        <w:rPr>
          <w:lang w:eastAsia="zh-CN"/>
        </w:rPr>
      </w:pPr>
      <w:r w:rsidRPr="00A3267D">
        <w:rPr>
          <w:rFonts w:asciiTheme="minorEastAsia" w:hAnsiTheme="minorEastAsia" w:cs="Times New Roman"/>
          <w:spacing w:val="-7"/>
          <w:szCs w:val="24"/>
          <w:lang w:eastAsia="zh-CN"/>
        </w:rPr>
        <w:t>本规范</w:t>
      </w:r>
      <w:r w:rsidR="00800B39" w:rsidRPr="00A3267D">
        <w:rPr>
          <w:rFonts w:asciiTheme="minorEastAsia" w:hAnsiTheme="minorEastAsia" w:cs="Times New Roman"/>
          <w:spacing w:val="-7"/>
          <w:szCs w:val="24"/>
          <w:lang w:eastAsia="zh-CN"/>
        </w:rPr>
        <w:t>引用的主要</w:t>
      </w:r>
      <w:r w:rsidR="00F42977" w:rsidRPr="00A3267D">
        <w:rPr>
          <w:rFonts w:asciiTheme="minorEastAsia" w:hAnsiTheme="minorEastAsia" w:cs="Times New Roman"/>
          <w:spacing w:val="-7"/>
          <w:szCs w:val="24"/>
          <w:lang w:eastAsia="zh-CN"/>
        </w:rPr>
        <w:t>标准</w:t>
      </w:r>
      <w:r w:rsidR="00F967E3" w:rsidRPr="00A3267D">
        <w:rPr>
          <w:rFonts w:asciiTheme="minorEastAsia" w:hAnsiTheme="minorEastAsia" w:cs="Times New Roman"/>
          <w:spacing w:val="-7"/>
          <w:szCs w:val="24"/>
          <w:lang w:eastAsia="zh-CN"/>
        </w:rPr>
        <w:t>文件</w:t>
      </w:r>
      <w:r w:rsidRPr="00A3267D">
        <w:rPr>
          <w:rFonts w:asciiTheme="minorEastAsia" w:hAnsiTheme="minorEastAsia" w:cs="Times New Roman"/>
          <w:spacing w:val="-7"/>
          <w:szCs w:val="24"/>
          <w:lang w:eastAsia="zh-CN"/>
        </w:rPr>
        <w:t>来自于</w:t>
      </w:r>
      <w:r w:rsidR="00DE2FDF" w:rsidRPr="00A3267D">
        <w:rPr>
          <w:rFonts w:ascii="宋体" w:eastAsia="宋体" w:hAnsi="宋体" w:cs="Times New Roman" w:hint="eastAsia"/>
          <w:szCs w:val="24"/>
          <w:lang w:eastAsia="zh-CN"/>
        </w:rPr>
        <w:t>GB/T10184</w:t>
      </w:r>
      <w:r w:rsidR="00DE2FDF" w:rsidRPr="00A3267D">
        <w:rPr>
          <w:rFonts w:hAnsi="宋体" w:hint="eastAsia"/>
          <w:lang w:eastAsia="zh-CN"/>
        </w:rPr>
        <w:t xml:space="preserve">  </w:t>
      </w:r>
      <w:r w:rsidR="00B47D00" w:rsidRPr="00A3267D">
        <w:rPr>
          <w:rFonts w:hAnsi="宋体" w:hint="eastAsia"/>
          <w:lang w:eastAsia="zh-CN"/>
        </w:rPr>
        <w:t>《</w:t>
      </w:r>
      <w:r w:rsidR="00B47D00" w:rsidRPr="00A3267D">
        <w:rPr>
          <w:rFonts w:ascii="宋体" w:eastAsia="宋体" w:hAnsi="宋体" w:cs="Times New Roman" w:hint="eastAsia"/>
          <w:szCs w:val="24"/>
          <w:lang w:eastAsia="zh-CN"/>
        </w:rPr>
        <w:t>电站锅炉性能试验规程</w:t>
      </w:r>
      <w:r w:rsidR="00B47D00" w:rsidRPr="00A3267D">
        <w:rPr>
          <w:rFonts w:hAnsi="宋体" w:hint="eastAsia"/>
          <w:lang w:eastAsia="zh-CN"/>
        </w:rPr>
        <w:t>》</w:t>
      </w:r>
      <w:r w:rsidR="00DE2FDF" w:rsidRPr="00A3267D">
        <w:rPr>
          <w:rFonts w:hint="eastAsia"/>
          <w:lang w:eastAsia="zh-CN"/>
        </w:rPr>
        <w:t>、</w:t>
      </w:r>
      <w:r w:rsidR="00C82BE9" w:rsidRPr="00A3267D">
        <w:rPr>
          <w:rFonts w:asciiTheme="minorEastAsia" w:hAnsiTheme="minorEastAsia" w:cs="Times New Roman"/>
          <w:spacing w:val="-7"/>
          <w:szCs w:val="24"/>
          <w:lang w:eastAsia="zh-CN"/>
        </w:rPr>
        <w:t>GB/T 21372</w:t>
      </w:r>
      <w:r w:rsidR="00FF1431" w:rsidRPr="00A3267D">
        <w:rPr>
          <w:rFonts w:asciiTheme="minorEastAsia" w:hAnsiTheme="minorEastAsia" w:cs="Times New Roman"/>
          <w:spacing w:val="-7"/>
          <w:szCs w:val="24"/>
          <w:lang w:eastAsia="zh-CN"/>
        </w:rPr>
        <w:t>《硅酸盐水泥熟料》</w:t>
      </w:r>
      <w:r w:rsidR="00FF1431" w:rsidRPr="00A3267D">
        <w:rPr>
          <w:rFonts w:asciiTheme="minorEastAsia" w:hAnsiTheme="minorEastAsia" w:cs="Times New Roman"/>
          <w:spacing w:val="-3"/>
          <w:szCs w:val="24"/>
          <w:lang w:eastAsia="zh-CN"/>
        </w:rPr>
        <w:t>、</w:t>
      </w:r>
      <w:r w:rsidR="005A0303" w:rsidRPr="00A3267D">
        <w:rPr>
          <w:rFonts w:asciiTheme="minorEastAsia" w:hAnsiTheme="minorEastAsia" w:cs="Times New Roman" w:hint="eastAsia"/>
          <w:spacing w:val="-3"/>
          <w:szCs w:val="24"/>
          <w:lang w:eastAsia="zh-CN"/>
        </w:rPr>
        <w:t>GB/T 27418《测量不确定度评定和表示》</w:t>
      </w:r>
      <w:r w:rsidR="00FF1431" w:rsidRPr="00A3267D">
        <w:rPr>
          <w:rFonts w:asciiTheme="minorEastAsia" w:hAnsiTheme="minorEastAsia" w:cs="Times New Roman"/>
          <w:spacing w:val="-3"/>
          <w:szCs w:val="24"/>
          <w:lang w:eastAsia="zh-CN"/>
        </w:rPr>
        <w:t>、</w:t>
      </w:r>
      <w:r w:rsidR="00C82BE9" w:rsidRPr="00A3267D">
        <w:rPr>
          <w:rFonts w:asciiTheme="minorEastAsia" w:hAnsiTheme="minorEastAsia" w:cs="Times New Roman"/>
          <w:spacing w:val="-3"/>
          <w:szCs w:val="24"/>
          <w:lang w:eastAsia="zh-CN"/>
        </w:rPr>
        <w:t>GB/T 32151.8</w:t>
      </w:r>
      <w:r w:rsidR="00FF1431" w:rsidRPr="00A3267D">
        <w:rPr>
          <w:rFonts w:asciiTheme="minorEastAsia" w:hAnsiTheme="minorEastAsia" w:cs="Times New Roman"/>
          <w:spacing w:val="-3"/>
          <w:szCs w:val="24"/>
          <w:lang w:eastAsia="zh-CN"/>
        </w:rPr>
        <w:t>《碳排放核算与报告要求第8部分：水泥生产企业》、</w:t>
      </w:r>
      <w:r w:rsidR="00683951" w:rsidRPr="00A3267D">
        <w:rPr>
          <w:rFonts w:asciiTheme="minorEastAsia" w:hAnsiTheme="minorEastAsia" w:cs="Times New Roman" w:hint="eastAsia"/>
          <w:spacing w:val="-3"/>
          <w:szCs w:val="24"/>
          <w:lang w:eastAsia="zh-CN"/>
        </w:rPr>
        <w:t>JJF（建材）216-2024</w:t>
      </w:r>
      <w:r w:rsidR="00550A42" w:rsidRPr="00A3267D">
        <w:rPr>
          <w:rFonts w:asciiTheme="minorEastAsia" w:hAnsiTheme="minorEastAsia" w:cs="Times New Roman" w:hint="eastAsia"/>
          <w:spacing w:val="-3"/>
          <w:szCs w:val="24"/>
          <w:lang w:eastAsia="zh-CN"/>
        </w:rPr>
        <w:t>《建材行业二氧化碳在线监测系统校准规范》、</w:t>
      </w:r>
      <w:r w:rsidR="005A0303" w:rsidRPr="00A3267D">
        <w:rPr>
          <w:rFonts w:asciiTheme="minorEastAsia" w:hAnsiTheme="minorEastAsia" w:cs="Times New Roman" w:hint="eastAsia"/>
          <w:spacing w:val="-3"/>
          <w:szCs w:val="24"/>
          <w:lang w:eastAsia="zh-CN"/>
        </w:rPr>
        <w:t>JJF 1059.1《测量不确定度评定与表示</w:t>
      </w:r>
      <w:r w:rsidR="00685B79" w:rsidRPr="00A3267D">
        <w:rPr>
          <w:rFonts w:asciiTheme="minorEastAsia" w:hAnsiTheme="minorEastAsia" w:cs="Times New Roman" w:hint="eastAsia"/>
          <w:spacing w:val="-3"/>
          <w:szCs w:val="24"/>
          <w:lang w:eastAsia="zh-CN"/>
        </w:rPr>
        <w:t>》</w:t>
      </w:r>
      <w:r w:rsidR="005A0303" w:rsidRPr="00A3267D">
        <w:rPr>
          <w:rFonts w:asciiTheme="minorEastAsia" w:hAnsiTheme="minorEastAsia" w:cs="Times New Roman" w:hint="eastAsia"/>
          <w:spacing w:val="-3"/>
          <w:szCs w:val="24"/>
          <w:lang w:eastAsia="zh-CN"/>
        </w:rPr>
        <w:t>、HJ 75《固定污染源烟气（SO</w:t>
      </w:r>
      <w:r w:rsidR="005A0303" w:rsidRPr="00A3267D">
        <w:rPr>
          <w:rFonts w:asciiTheme="minorEastAsia" w:hAnsiTheme="minorEastAsia" w:cs="Times New Roman" w:hint="eastAsia"/>
          <w:spacing w:val="-3"/>
          <w:szCs w:val="24"/>
          <w:vertAlign w:val="subscript"/>
          <w:lang w:eastAsia="zh-CN"/>
        </w:rPr>
        <w:t>2</w:t>
      </w:r>
      <w:r w:rsidR="005A0303" w:rsidRPr="00A3267D">
        <w:rPr>
          <w:rFonts w:asciiTheme="minorEastAsia" w:hAnsiTheme="minorEastAsia" w:cs="Times New Roman" w:hint="eastAsia"/>
          <w:spacing w:val="-3"/>
          <w:szCs w:val="24"/>
          <w:lang w:eastAsia="zh-CN"/>
        </w:rPr>
        <w:t>、NO</w:t>
      </w:r>
      <w:r w:rsidR="005A0303" w:rsidRPr="00A3267D">
        <w:rPr>
          <w:rFonts w:asciiTheme="minorEastAsia" w:hAnsiTheme="minorEastAsia" w:cs="Times New Roman" w:hint="eastAsia"/>
          <w:spacing w:val="-3"/>
          <w:szCs w:val="24"/>
          <w:vertAlign w:val="subscript"/>
          <w:lang w:eastAsia="zh-CN"/>
        </w:rPr>
        <w:t>X</w:t>
      </w:r>
      <w:r w:rsidR="005A0303" w:rsidRPr="00A3267D">
        <w:rPr>
          <w:rFonts w:asciiTheme="minorEastAsia" w:hAnsiTheme="minorEastAsia" w:cs="Times New Roman" w:hint="eastAsia"/>
          <w:spacing w:val="-3"/>
          <w:szCs w:val="24"/>
          <w:lang w:eastAsia="zh-CN"/>
        </w:rPr>
        <w:t>、颗粒物）排放连续监测技术规范》</w:t>
      </w:r>
      <w:r w:rsidR="00B84408" w:rsidRPr="00A3267D">
        <w:rPr>
          <w:rFonts w:asciiTheme="minorEastAsia" w:hAnsiTheme="minorEastAsia" w:cs="Times New Roman" w:hint="eastAsia"/>
          <w:spacing w:val="-3"/>
          <w:szCs w:val="24"/>
          <w:lang w:eastAsia="zh-CN"/>
        </w:rPr>
        <w:t>、</w:t>
      </w:r>
      <w:r w:rsidR="00B84408" w:rsidRPr="00A3267D">
        <w:rPr>
          <w:rFonts w:asciiTheme="minorEastAsia" w:hAnsiTheme="minorEastAsia" w:cs="Times New Roman" w:hint="eastAsia"/>
          <w:color w:val="FF0000"/>
          <w:spacing w:val="-1"/>
          <w:szCs w:val="24"/>
          <w:lang w:eastAsia="zh-CN"/>
        </w:rPr>
        <w:t>JJF(鄂)150</w:t>
      </w:r>
      <w:r w:rsidR="00B84408" w:rsidRPr="00A3267D">
        <w:rPr>
          <w:rFonts w:asciiTheme="minorEastAsia" w:hAnsiTheme="minorEastAsia" w:cs="Times New Roman"/>
          <w:color w:val="FF0000"/>
          <w:spacing w:val="-1"/>
          <w:szCs w:val="24"/>
          <w:lang w:eastAsia="zh-CN"/>
        </w:rPr>
        <w:t>《</w:t>
      </w:r>
      <w:r w:rsidR="00B84408" w:rsidRPr="00A3267D">
        <w:rPr>
          <w:rFonts w:asciiTheme="minorEastAsia" w:hAnsiTheme="minorEastAsia" w:cs="Times New Roman" w:hint="eastAsia"/>
          <w:color w:val="FF0000"/>
          <w:spacing w:val="-1"/>
          <w:szCs w:val="24"/>
          <w:lang w:eastAsia="zh-CN"/>
        </w:rPr>
        <w:t>电力行业碳计量技术规范不确定度评定</w:t>
      </w:r>
      <w:r w:rsidR="00B84408" w:rsidRPr="00A3267D">
        <w:rPr>
          <w:rFonts w:asciiTheme="minorEastAsia" w:hAnsiTheme="minorEastAsia" w:cs="Times New Roman"/>
          <w:color w:val="FF0000"/>
          <w:spacing w:val="-1"/>
          <w:szCs w:val="24"/>
          <w:lang w:eastAsia="zh-CN"/>
        </w:rPr>
        <w:t>》</w:t>
      </w:r>
      <w:r w:rsidR="009625FF" w:rsidRPr="00A3267D">
        <w:rPr>
          <w:rFonts w:asciiTheme="minorEastAsia" w:hAnsiTheme="minorEastAsia" w:cs="Times New Roman"/>
          <w:color w:val="FF0000"/>
          <w:spacing w:val="-7"/>
          <w:szCs w:val="24"/>
          <w:lang w:eastAsia="zh-CN"/>
        </w:rPr>
        <w:t>等</w:t>
      </w:r>
      <w:r w:rsidR="009C6C48" w:rsidRPr="00A3267D">
        <w:rPr>
          <w:rFonts w:asciiTheme="minorEastAsia" w:hAnsiTheme="minorEastAsia" w:cs="Times New Roman"/>
          <w:spacing w:val="-7"/>
          <w:szCs w:val="24"/>
          <w:lang w:eastAsia="zh-CN"/>
        </w:rPr>
        <w:t>。</w:t>
      </w:r>
    </w:p>
    <w:p w14:paraId="0C55F5ED" w14:textId="7CBB02CA" w:rsidR="00634DB9" w:rsidRPr="00A3267D" w:rsidRDefault="007B7ADF" w:rsidP="00924D51">
      <w:pPr>
        <w:ind w:firstLine="470"/>
        <w:jc w:val="both"/>
        <w:outlineLvl w:val="2"/>
        <w:rPr>
          <w:rFonts w:asciiTheme="minorEastAsia" w:hAnsiTheme="minorEastAsia" w:cs="Times New Roman"/>
          <w:spacing w:val="-5"/>
          <w:szCs w:val="24"/>
          <w:lang w:eastAsia="zh-CN"/>
        </w:rPr>
      </w:pPr>
      <w:r w:rsidRPr="00A3267D">
        <w:rPr>
          <w:rFonts w:asciiTheme="minorEastAsia" w:hAnsiTheme="minorEastAsia" w:cs="Times New Roman"/>
          <w:spacing w:val="-5"/>
          <w:szCs w:val="24"/>
          <w:lang w:eastAsia="zh-CN"/>
        </w:rPr>
        <w:t>3</w:t>
      </w:r>
      <w:r w:rsidR="00B176EC" w:rsidRPr="00A3267D">
        <w:rPr>
          <w:rFonts w:asciiTheme="minorEastAsia" w:hAnsiTheme="minorEastAsia" w:cs="Times New Roman"/>
          <w:spacing w:val="-5"/>
          <w:szCs w:val="24"/>
          <w:lang w:eastAsia="zh-CN"/>
        </w:rPr>
        <w:t>.</w:t>
      </w:r>
      <w:r w:rsidRPr="00A3267D">
        <w:rPr>
          <w:rFonts w:asciiTheme="minorEastAsia" w:hAnsiTheme="minorEastAsia" w:cs="Times New Roman"/>
          <w:spacing w:val="-5"/>
          <w:szCs w:val="24"/>
          <w:lang w:eastAsia="zh-CN"/>
        </w:rPr>
        <w:t>关于术语</w:t>
      </w:r>
    </w:p>
    <w:p w14:paraId="58C8398C" w14:textId="470C054B" w:rsidR="00634DB9" w:rsidRPr="00A3267D" w:rsidRDefault="007B7ADF" w:rsidP="00924D51">
      <w:pPr>
        <w:spacing w:before="104" w:line="352" w:lineRule="auto"/>
        <w:ind w:left="23" w:right="181" w:firstLine="460"/>
        <w:jc w:val="both"/>
        <w:rPr>
          <w:rFonts w:asciiTheme="minorEastAsia" w:hAnsiTheme="minorEastAsia" w:cs="Times New Roman"/>
          <w:spacing w:val="-4"/>
          <w:szCs w:val="24"/>
          <w:lang w:eastAsia="zh-CN"/>
        </w:rPr>
      </w:pPr>
      <w:r w:rsidRPr="00A3267D">
        <w:rPr>
          <w:rFonts w:asciiTheme="minorEastAsia" w:hAnsiTheme="minorEastAsia" w:cs="Times New Roman"/>
          <w:spacing w:val="-10"/>
          <w:szCs w:val="24"/>
          <w:lang w:eastAsia="zh-CN"/>
        </w:rPr>
        <w:t>为</w:t>
      </w:r>
      <w:r w:rsidR="0017199D" w:rsidRPr="00A3267D">
        <w:rPr>
          <w:rFonts w:asciiTheme="minorEastAsia" w:hAnsiTheme="minorEastAsia" w:cs="Times New Roman"/>
          <w:spacing w:val="-10"/>
          <w:szCs w:val="24"/>
          <w:lang w:eastAsia="zh-CN"/>
        </w:rPr>
        <w:t>确保</w:t>
      </w:r>
      <w:r w:rsidR="00F336F1" w:rsidRPr="00A3267D">
        <w:rPr>
          <w:rFonts w:asciiTheme="minorEastAsia" w:hAnsiTheme="minorEastAsia" w:cs="Times New Roman"/>
          <w:spacing w:val="-10"/>
          <w:szCs w:val="24"/>
          <w:lang w:eastAsia="zh-CN"/>
        </w:rPr>
        <w:t>本规范</w:t>
      </w:r>
      <w:r w:rsidRPr="00A3267D">
        <w:rPr>
          <w:rFonts w:asciiTheme="minorEastAsia" w:hAnsiTheme="minorEastAsia" w:cs="Times New Roman"/>
          <w:spacing w:val="-10"/>
          <w:szCs w:val="24"/>
          <w:lang w:eastAsia="zh-CN"/>
        </w:rPr>
        <w:t>条文</w:t>
      </w:r>
      <w:r w:rsidR="00A47594" w:rsidRPr="00A3267D">
        <w:rPr>
          <w:rFonts w:asciiTheme="minorEastAsia" w:hAnsiTheme="minorEastAsia" w:cs="Times New Roman"/>
          <w:spacing w:val="-10"/>
          <w:szCs w:val="24"/>
          <w:lang w:eastAsia="zh-CN"/>
        </w:rPr>
        <w:t>的有效性</w:t>
      </w:r>
      <w:r w:rsidRPr="00A3267D">
        <w:rPr>
          <w:rFonts w:asciiTheme="minorEastAsia" w:hAnsiTheme="minorEastAsia" w:cs="Times New Roman"/>
          <w:spacing w:val="-10"/>
          <w:szCs w:val="24"/>
          <w:lang w:eastAsia="zh-CN"/>
        </w:rPr>
        <w:t>，对一些名词进行了解释，</w:t>
      </w:r>
      <w:r w:rsidR="0064599E" w:rsidRPr="00A3267D">
        <w:rPr>
          <w:rFonts w:asciiTheme="minorEastAsia" w:hAnsiTheme="minorEastAsia" w:cs="Times New Roman"/>
          <w:spacing w:val="-10"/>
          <w:szCs w:val="24"/>
          <w:lang w:eastAsia="zh-CN"/>
        </w:rPr>
        <w:t>大</w:t>
      </w:r>
      <w:r w:rsidR="0077311E" w:rsidRPr="00A3267D">
        <w:rPr>
          <w:rFonts w:asciiTheme="minorEastAsia" w:hAnsiTheme="minorEastAsia" w:cs="Times New Roman" w:hint="eastAsia"/>
          <w:spacing w:val="-10"/>
          <w:szCs w:val="24"/>
          <w:lang w:eastAsia="zh-CN"/>
        </w:rPr>
        <w:t>部分</w:t>
      </w:r>
      <w:r w:rsidR="0077311E" w:rsidRPr="00A3267D">
        <w:rPr>
          <w:rFonts w:asciiTheme="minorEastAsia" w:hAnsiTheme="minorEastAsia" w:cs="Times New Roman"/>
          <w:spacing w:val="-10"/>
          <w:szCs w:val="24"/>
          <w:lang w:eastAsia="zh-CN"/>
        </w:rPr>
        <w:t>来</w:t>
      </w:r>
      <w:r w:rsidRPr="00A3267D">
        <w:rPr>
          <w:rFonts w:asciiTheme="minorEastAsia" w:hAnsiTheme="minorEastAsia" w:cs="Times New Roman"/>
          <w:spacing w:val="-10"/>
          <w:szCs w:val="24"/>
          <w:lang w:eastAsia="zh-CN"/>
        </w:rPr>
        <w:t>自于引用</w:t>
      </w:r>
      <w:r w:rsidRPr="00A3267D">
        <w:rPr>
          <w:rFonts w:asciiTheme="minorEastAsia" w:hAnsiTheme="minorEastAsia" w:cs="Times New Roman"/>
          <w:spacing w:val="-11"/>
          <w:szCs w:val="24"/>
          <w:lang w:eastAsia="zh-CN"/>
        </w:rPr>
        <w:t>标准</w:t>
      </w:r>
      <w:r w:rsidR="00F42977" w:rsidRPr="00A3267D">
        <w:rPr>
          <w:rFonts w:asciiTheme="minorEastAsia" w:hAnsiTheme="minorEastAsia" w:cs="Times New Roman"/>
          <w:spacing w:val="-11"/>
          <w:szCs w:val="24"/>
          <w:lang w:eastAsia="zh-CN"/>
        </w:rPr>
        <w:t>文件</w:t>
      </w:r>
      <w:r w:rsidRPr="00A3267D">
        <w:rPr>
          <w:rFonts w:asciiTheme="minorEastAsia" w:hAnsiTheme="minorEastAsia" w:cs="Times New Roman"/>
          <w:spacing w:val="-11"/>
          <w:szCs w:val="24"/>
          <w:lang w:eastAsia="zh-CN"/>
        </w:rPr>
        <w:t>，</w:t>
      </w:r>
      <w:r w:rsidRPr="00A3267D">
        <w:rPr>
          <w:rFonts w:asciiTheme="minorEastAsia" w:hAnsiTheme="minorEastAsia" w:cs="Times New Roman"/>
          <w:spacing w:val="-3"/>
          <w:szCs w:val="24"/>
          <w:lang w:eastAsia="zh-CN"/>
        </w:rPr>
        <w:t>术语“</w:t>
      </w:r>
      <w:r w:rsidR="00F42977" w:rsidRPr="00A3267D">
        <w:rPr>
          <w:rFonts w:asciiTheme="minorEastAsia" w:hAnsiTheme="minorEastAsia" w:cs="Times New Roman"/>
          <w:spacing w:val="-3"/>
          <w:szCs w:val="24"/>
          <w:lang w:eastAsia="zh-CN"/>
        </w:rPr>
        <w:t>化石燃料燃烧排放</w:t>
      </w:r>
      <w:r w:rsidRPr="00A3267D">
        <w:rPr>
          <w:rFonts w:asciiTheme="minorEastAsia" w:hAnsiTheme="minorEastAsia" w:cs="Times New Roman"/>
          <w:spacing w:val="-1"/>
          <w:szCs w:val="24"/>
          <w:lang w:eastAsia="zh-CN"/>
        </w:rPr>
        <w:t>”出自</w:t>
      </w:r>
      <w:r w:rsidR="00F42977" w:rsidRPr="00A3267D">
        <w:rPr>
          <w:rFonts w:asciiTheme="minorEastAsia" w:hAnsiTheme="minorEastAsia" w:cs="Times New Roman"/>
          <w:spacing w:val="-1"/>
          <w:szCs w:val="24"/>
          <w:lang w:eastAsia="zh-CN"/>
        </w:rPr>
        <w:t>GB/T 32151.8《碳排放核算与报告要求第8部分：水泥生产企业》、</w:t>
      </w:r>
      <w:r w:rsidR="00D736EB" w:rsidRPr="00A3267D">
        <w:rPr>
          <w:rFonts w:asciiTheme="minorEastAsia" w:hAnsiTheme="minorEastAsia" w:cs="Times New Roman"/>
          <w:spacing w:val="-11"/>
          <w:szCs w:val="24"/>
          <w:lang w:eastAsia="zh-CN"/>
        </w:rPr>
        <w:t>术语“低位发热量”出自于</w:t>
      </w:r>
      <w:r w:rsidR="00DE223A" w:rsidRPr="00A3267D">
        <w:rPr>
          <w:rFonts w:asciiTheme="minorEastAsia" w:hAnsiTheme="minorEastAsia" w:cs="Times New Roman" w:hint="eastAsia"/>
          <w:spacing w:val="-11"/>
          <w:szCs w:val="24"/>
          <w:lang w:eastAsia="zh-CN"/>
        </w:rPr>
        <w:t>《企业温室气体排放核算与报告指南 水泥行业》（CETS-AG-02.01-V01-2024）</w:t>
      </w:r>
      <w:r w:rsidRPr="00A3267D">
        <w:rPr>
          <w:rFonts w:asciiTheme="minorEastAsia" w:hAnsiTheme="minorEastAsia" w:cs="Times New Roman"/>
          <w:spacing w:val="-4"/>
          <w:szCs w:val="24"/>
          <w:lang w:eastAsia="zh-CN"/>
        </w:rPr>
        <w:t>，</w:t>
      </w:r>
      <w:r w:rsidR="00E55DB4" w:rsidRPr="00A3267D">
        <w:rPr>
          <w:rFonts w:asciiTheme="minorEastAsia" w:hAnsiTheme="minorEastAsia" w:cs="Times New Roman"/>
          <w:spacing w:val="-4"/>
          <w:szCs w:val="24"/>
          <w:lang w:eastAsia="zh-CN"/>
        </w:rPr>
        <w:t>术语“碳氧化率”出自于</w:t>
      </w:r>
      <w:r w:rsidR="00815B88" w:rsidRPr="00A3267D">
        <w:rPr>
          <w:rFonts w:asciiTheme="minorEastAsia" w:hAnsiTheme="minorEastAsia" w:cs="Times New Roman"/>
          <w:spacing w:val="-1"/>
          <w:szCs w:val="24"/>
          <w:lang w:eastAsia="zh-CN"/>
        </w:rPr>
        <w:t>GB/T 32151.8《碳排放核算与报告要求第8部分：水泥生产企业》</w:t>
      </w:r>
      <w:r w:rsidR="00E55DB4" w:rsidRPr="00A3267D">
        <w:rPr>
          <w:rFonts w:asciiTheme="minorEastAsia" w:hAnsiTheme="minorEastAsia" w:cs="Times New Roman"/>
          <w:spacing w:val="-4"/>
          <w:szCs w:val="24"/>
          <w:lang w:eastAsia="zh-CN"/>
        </w:rPr>
        <w:t>、术语“</w:t>
      </w:r>
      <w:r w:rsidR="0037707F" w:rsidRPr="00A3267D">
        <w:rPr>
          <w:rFonts w:asciiTheme="minorEastAsia" w:hAnsiTheme="minorEastAsia" w:cs="Times New Roman" w:hint="eastAsia"/>
          <w:spacing w:val="-4"/>
          <w:szCs w:val="24"/>
          <w:lang w:eastAsia="zh-CN"/>
        </w:rPr>
        <w:t>过程</w:t>
      </w:r>
      <w:r w:rsidR="0037707F" w:rsidRPr="00A3267D">
        <w:rPr>
          <w:rFonts w:asciiTheme="minorEastAsia" w:hAnsiTheme="minorEastAsia" w:cs="Times New Roman"/>
          <w:spacing w:val="-4"/>
          <w:szCs w:val="24"/>
          <w:lang w:eastAsia="zh-CN"/>
        </w:rPr>
        <w:t>排放</w:t>
      </w:r>
      <w:r w:rsidR="00E55DB4" w:rsidRPr="00A3267D">
        <w:rPr>
          <w:rFonts w:asciiTheme="minorEastAsia" w:hAnsiTheme="minorEastAsia" w:cs="Times New Roman"/>
          <w:spacing w:val="-4"/>
          <w:szCs w:val="24"/>
          <w:lang w:eastAsia="zh-CN"/>
        </w:rPr>
        <w:t>”出自于</w:t>
      </w:r>
      <w:r w:rsidR="0037707F" w:rsidRPr="00A3267D">
        <w:rPr>
          <w:rFonts w:asciiTheme="minorEastAsia" w:hAnsiTheme="minorEastAsia" w:cs="Times New Roman"/>
          <w:spacing w:val="-1"/>
          <w:szCs w:val="24"/>
          <w:lang w:eastAsia="zh-CN"/>
        </w:rPr>
        <w:t>GB/T 32151.8《碳排放核算与报告要求第8部分：水泥生产企业》</w:t>
      </w:r>
      <w:r w:rsidR="00D31205" w:rsidRPr="00A3267D">
        <w:rPr>
          <w:rFonts w:asciiTheme="minorEastAsia" w:hAnsiTheme="minorEastAsia" w:cs="Times New Roman"/>
          <w:spacing w:val="-4"/>
          <w:szCs w:val="24"/>
          <w:lang w:eastAsia="zh-CN"/>
        </w:rPr>
        <w:t>、</w:t>
      </w:r>
      <w:r w:rsidR="00752C0C" w:rsidRPr="00A3267D">
        <w:rPr>
          <w:rFonts w:asciiTheme="minorEastAsia" w:hAnsiTheme="minorEastAsia" w:cs="Times New Roman"/>
          <w:spacing w:val="-4"/>
          <w:szCs w:val="24"/>
          <w:lang w:eastAsia="zh-CN"/>
        </w:rPr>
        <w:t>术语“</w:t>
      </w:r>
      <w:r w:rsidR="00752C0C" w:rsidRPr="00A3267D">
        <w:rPr>
          <w:rFonts w:asciiTheme="minorEastAsia" w:hAnsiTheme="minorEastAsia" w:cs="Times New Roman" w:hint="eastAsia"/>
          <w:spacing w:val="-4"/>
          <w:szCs w:val="24"/>
          <w:lang w:eastAsia="zh-CN"/>
        </w:rPr>
        <w:t>烟气直测法</w:t>
      </w:r>
      <w:r w:rsidR="00752C0C" w:rsidRPr="00A3267D">
        <w:rPr>
          <w:rFonts w:asciiTheme="minorEastAsia" w:hAnsiTheme="minorEastAsia" w:cs="Times New Roman"/>
          <w:spacing w:val="-4"/>
          <w:szCs w:val="24"/>
          <w:lang w:eastAsia="zh-CN"/>
        </w:rPr>
        <w:t>”</w:t>
      </w:r>
      <w:r w:rsidR="0077203E" w:rsidRPr="00A3267D">
        <w:rPr>
          <w:rFonts w:asciiTheme="minorEastAsia" w:hAnsiTheme="minorEastAsia" w:cs="Times New Roman"/>
          <w:spacing w:val="-4"/>
          <w:szCs w:val="24"/>
          <w:lang w:eastAsia="zh-CN"/>
        </w:rPr>
        <w:t>参考</w:t>
      </w:r>
      <w:r w:rsidR="0077203E" w:rsidRPr="00A3267D">
        <w:rPr>
          <w:rFonts w:asciiTheme="minorEastAsia" w:hAnsiTheme="minorEastAsia" w:cs="Times New Roman" w:hint="eastAsia"/>
          <w:spacing w:val="-3"/>
          <w:szCs w:val="24"/>
          <w:lang w:eastAsia="zh-CN"/>
        </w:rPr>
        <w:t>HJ 75《固定污染源烟气（SO</w:t>
      </w:r>
      <w:r w:rsidR="0077203E" w:rsidRPr="00A3267D">
        <w:rPr>
          <w:rFonts w:asciiTheme="minorEastAsia" w:hAnsiTheme="minorEastAsia" w:cs="Times New Roman" w:hint="eastAsia"/>
          <w:spacing w:val="-3"/>
          <w:szCs w:val="24"/>
          <w:vertAlign w:val="subscript"/>
          <w:lang w:eastAsia="zh-CN"/>
        </w:rPr>
        <w:t>2</w:t>
      </w:r>
      <w:r w:rsidR="0077203E" w:rsidRPr="00A3267D">
        <w:rPr>
          <w:rFonts w:asciiTheme="minorEastAsia" w:hAnsiTheme="minorEastAsia" w:cs="Times New Roman" w:hint="eastAsia"/>
          <w:spacing w:val="-3"/>
          <w:szCs w:val="24"/>
          <w:lang w:eastAsia="zh-CN"/>
        </w:rPr>
        <w:t>、NO</w:t>
      </w:r>
      <w:r w:rsidR="0077203E" w:rsidRPr="00A3267D">
        <w:rPr>
          <w:rFonts w:asciiTheme="minorEastAsia" w:hAnsiTheme="minorEastAsia" w:cs="Times New Roman" w:hint="eastAsia"/>
          <w:spacing w:val="-3"/>
          <w:szCs w:val="24"/>
          <w:vertAlign w:val="subscript"/>
          <w:lang w:eastAsia="zh-CN"/>
        </w:rPr>
        <w:t>X</w:t>
      </w:r>
      <w:r w:rsidR="0077203E" w:rsidRPr="00A3267D">
        <w:rPr>
          <w:rFonts w:asciiTheme="minorEastAsia" w:hAnsiTheme="minorEastAsia" w:cs="Times New Roman" w:hint="eastAsia"/>
          <w:spacing w:val="-3"/>
          <w:szCs w:val="24"/>
          <w:lang w:eastAsia="zh-CN"/>
        </w:rPr>
        <w:t>、颗粒物）排放连续监测技术规范》和《碳计量名词术语及定义（征求意见稿）》给出定义</w:t>
      </w:r>
      <w:r w:rsidR="00752C0C" w:rsidRPr="00A3267D">
        <w:rPr>
          <w:rFonts w:asciiTheme="minorEastAsia" w:hAnsiTheme="minorEastAsia" w:cs="Times New Roman"/>
          <w:spacing w:val="-1"/>
          <w:szCs w:val="24"/>
          <w:lang w:eastAsia="zh-CN"/>
        </w:rPr>
        <w:t>、</w:t>
      </w:r>
      <w:r w:rsidR="00752C0C" w:rsidRPr="00A3267D">
        <w:rPr>
          <w:rFonts w:asciiTheme="minorEastAsia" w:hAnsiTheme="minorEastAsia" w:cs="Times New Roman"/>
          <w:spacing w:val="-4"/>
          <w:szCs w:val="24"/>
          <w:lang w:eastAsia="zh-CN"/>
        </w:rPr>
        <w:t>术语“</w:t>
      </w:r>
      <w:r w:rsidR="000463B4" w:rsidRPr="00A3267D">
        <w:rPr>
          <w:rFonts w:asciiTheme="minorEastAsia" w:hAnsiTheme="minorEastAsia" w:cs="Times New Roman" w:hint="eastAsia"/>
          <w:spacing w:val="-4"/>
          <w:szCs w:val="24"/>
          <w:lang w:eastAsia="zh-CN"/>
        </w:rPr>
        <w:t>标准计算法</w:t>
      </w:r>
      <w:r w:rsidR="00752C0C" w:rsidRPr="00A3267D">
        <w:rPr>
          <w:rFonts w:asciiTheme="minorEastAsia" w:hAnsiTheme="minorEastAsia" w:cs="Times New Roman"/>
          <w:spacing w:val="-4"/>
          <w:szCs w:val="24"/>
          <w:lang w:eastAsia="zh-CN"/>
        </w:rPr>
        <w:t>”</w:t>
      </w:r>
      <w:r w:rsidR="00B66CC2" w:rsidRPr="00A3267D">
        <w:rPr>
          <w:rFonts w:asciiTheme="minorEastAsia" w:hAnsiTheme="minorEastAsia" w:cs="Times New Roman" w:hint="eastAsia"/>
          <w:spacing w:val="-4"/>
          <w:szCs w:val="24"/>
          <w:lang w:eastAsia="zh-CN"/>
        </w:rPr>
        <w:t>改写</w:t>
      </w:r>
      <w:r w:rsidR="00B66CC2" w:rsidRPr="00A3267D">
        <w:rPr>
          <w:rFonts w:asciiTheme="minorEastAsia" w:hAnsiTheme="minorEastAsia" w:cs="Times New Roman"/>
          <w:spacing w:val="-4"/>
          <w:szCs w:val="24"/>
          <w:lang w:eastAsia="zh-CN"/>
        </w:rPr>
        <w:t>自</w:t>
      </w:r>
      <w:r w:rsidR="00B66CC2" w:rsidRPr="00A3267D">
        <w:rPr>
          <w:rFonts w:asciiTheme="minorEastAsia" w:hAnsiTheme="minorEastAsia" w:cs="Times New Roman" w:hint="eastAsia"/>
          <w:spacing w:val="-1"/>
          <w:szCs w:val="24"/>
          <w:lang w:eastAsia="zh-CN"/>
        </w:rPr>
        <w:t>JJF(鄂)150</w:t>
      </w:r>
      <w:r w:rsidR="00B66CC2" w:rsidRPr="00A3267D">
        <w:rPr>
          <w:rFonts w:asciiTheme="minorEastAsia" w:hAnsiTheme="minorEastAsia" w:cs="Times New Roman"/>
          <w:spacing w:val="-1"/>
          <w:szCs w:val="24"/>
          <w:lang w:eastAsia="zh-CN"/>
        </w:rPr>
        <w:t>《</w:t>
      </w:r>
      <w:r w:rsidR="00B66CC2" w:rsidRPr="00A3267D">
        <w:rPr>
          <w:rFonts w:asciiTheme="minorEastAsia" w:hAnsiTheme="minorEastAsia" w:cs="Times New Roman" w:hint="eastAsia"/>
          <w:spacing w:val="-1"/>
          <w:szCs w:val="24"/>
          <w:lang w:eastAsia="zh-CN"/>
        </w:rPr>
        <w:t>电力行业碳计量技术规</w:t>
      </w:r>
      <w:r w:rsidR="00B66CC2" w:rsidRPr="00A3267D">
        <w:rPr>
          <w:rFonts w:asciiTheme="minorEastAsia" w:hAnsiTheme="minorEastAsia" w:cs="Times New Roman" w:hint="eastAsia"/>
          <w:spacing w:val="-1"/>
          <w:szCs w:val="24"/>
          <w:lang w:eastAsia="zh-CN"/>
        </w:rPr>
        <w:lastRenderedPageBreak/>
        <w:t>范不确定度评定</w:t>
      </w:r>
      <w:r w:rsidR="00752C0C" w:rsidRPr="00A3267D">
        <w:rPr>
          <w:rFonts w:asciiTheme="minorEastAsia" w:hAnsiTheme="minorEastAsia" w:cs="Times New Roman"/>
          <w:spacing w:val="-1"/>
          <w:szCs w:val="24"/>
          <w:lang w:eastAsia="zh-CN"/>
        </w:rPr>
        <w:t>》、</w:t>
      </w:r>
      <w:r w:rsidR="004C4071" w:rsidRPr="00A3267D">
        <w:rPr>
          <w:rFonts w:asciiTheme="minorEastAsia" w:hAnsiTheme="minorEastAsia" w:cs="Times New Roman"/>
          <w:spacing w:val="-4"/>
          <w:szCs w:val="24"/>
          <w:lang w:eastAsia="zh-CN"/>
        </w:rPr>
        <w:t>术语“</w:t>
      </w:r>
      <w:r w:rsidR="00785D95" w:rsidRPr="00A3267D">
        <w:rPr>
          <w:rFonts w:asciiTheme="minorEastAsia" w:hAnsiTheme="minorEastAsia" w:cs="Times New Roman" w:hint="eastAsia"/>
          <w:spacing w:val="-4"/>
          <w:szCs w:val="24"/>
          <w:lang w:eastAsia="zh-CN"/>
        </w:rPr>
        <w:t>测量不确定度</w:t>
      </w:r>
      <w:r w:rsidR="004C4071" w:rsidRPr="00A3267D">
        <w:rPr>
          <w:rFonts w:asciiTheme="minorEastAsia" w:hAnsiTheme="minorEastAsia" w:cs="Times New Roman"/>
          <w:spacing w:val="-4"/>
          <w:szCs w:val="24"/>
          <w:lang w:eastAsia="zh-CN"/>
        </w:rPr>
        <w:t>”出自于</w:t>
      </w:r>
      <w:r w:rsidR="008439FB" w:rsidRPr="00A3267D">
        <w:rPr>
          <w:rFonts w:asciiTheme="minorEastAsia" w:hAnsiTheme="minorEastAsia" w:cs="Times New Roman"/>
          <w:spacing w:val="-1"/>
          <w:szCs w:val="24"/>
          <w:lang w:eastAsia="zh-CN"/>
        </w:rPr>
        <w:t>GB/T 27418</w:t>
      </w:r>
      <w:r w:rsidR="004C4071" w:rsidRPr="00A3267D">
        <w:rPr>
          <w:rFonts w:asciiTheme="minorEastAsia" w:hAnsiTheme="minorEastAsia" w:cs="Times New Roman"/>
          <w:spacing w:val="-1"/>
          <w:szCs w:val="24"/>
          <w:lang w:eastAsia="zh-CN"/>
        </w:rPr>
        <w:t>《</w:t>
      </w:r>
      <w:r w:rsidR="00C16DC1" w:rsidRPr="00A3267D">
        <w:rPr>
          <w:rFonts w:asciiTheme="minorEastAsia" w:hAnsiTheme="minorEastAsia" w:cs="Times New Roman" w:hint="eastAsia"/>
          <w:spacing w:val="-1"/>
          <w:szCs w:val="24"/>
          <w:lang w:eastAsia="zh-CN"/>
        </w:rPr>
        <w:t>测量不确定度</w:t>
      </w:r>
      <w:r w:rsidR="00C16DC1" w:rsidRPr="00A3267D">
        <w:rPr>
          <w:rFonts w:asciiTheme="minorEastAsia" w:hAnsiTheme="minorEastAsia" w:cs="Times New Roman"/>
          <w:spacing w:val="-1"/>
          <w:szCs w:val="24"/>
          <w:lang w:eastAsia="zh-CN"/>
        </w:rPr>
        <w:t>评定和表示</w:t>
      </w:r>
      <w:r w:rsidR="004C4071" w:rsidRPr="00A3267D">
        <w:rPr>
          <w:rFonts w:asciiTheme="minorEastAsia" w:hAnsiTheme="minorEastAsia" w:cs="Times New Roman"/>
          <w:spacing w:val="-1"/>
          <w:szCs w:val="24"/>
          <w:lang w:eastAsia="zh-CN"/>
        </w:rPr>
        <w:t>》，</w:t>
      </w:r>
      <w:r w:rsidR="002642F3" w:rsidRPr="00A3267D">
        <w:rPr>
          <w:rFonts w:asciiTheme="minorEastAsia" w:hAnsiTheme="minorEastAsia" w:cs="Times New Roman" w:hint="eastAsia"/>
          <w:spacing w:val="-4"/>
          <w:szCs w:val="24"/>
          <w:lang w:eastAsia="zh-CN"/>
        </w:rPr>
        <w:t>定义</w:t>
      </w:r>
      <w:r w:rsidRPr="00A3267D">
        <w:rPr>
          <w:rFonts w:asciiTheme="minorEastAsia" w:hAnsiTheme="minorEastAsia" w:cs="Times New Roman"/>
          <w:spacing w:val="-4"/>
          <w:szCs w:val="24"/>
          <w:lang w:eastAsia="zh-CN"/>
        </w:rPr>
        <w:t>上</w:t>
      </w:r>
      <w:r w:rsidRPr="00A3267D">
        <w:rPr>
          <w:rFonts w:asciiTheme="minorEastAsia" w:hAnsiTheme="minorEastAsia" w:cs="Times New Roman"/>
          <w:spacing w:val="-5"/>
          <w:szCs w:val="24"/>
          <w:lang w:eastAsia="zh-CN"/>
        </w:rPr>
        <w:t>保持了一致性。</w:t>
      </w:r>
    </w:p>
    <w:p w14:paraId="4D2B3C5A" w14:textId="77777777" w:rsidR="000A05B0" w:rsidRPr="00A3267D" w:rsidRDefault="007B7ADF" w:rsidP="000A05B0">
      <w:pPr>
        <w:ind w:firstLine="470"/>
        <w:jc w:val="both"/>
        <w:outlineLvl w:val="2"/>
        <w:rPr>
          <w:rFonts w:asciiTheme="minorEastAsia" w:hAnsiTheme="minorEastAsia" w:cs="Times New Roman"/>
          <w:szCs w:val="24"/>
          <w:lang w:eastAsia="zh-CN"/>
        </w:rPr>
      </w:pPr>
      <w:r w:rsidRPr="00A3267D">
        <w:rPr>
          <w:rFonts w:asciiTheme="minorEastAsia" w:hAnsiTheme="minorEastAsia" w:cs="Times New Roman"/>
          <w:spacing w:val="-5"/>
          <w:szCs w:val="24"/>
          <w:lang w:eastAsia="zh-CN"/>
        </w:rPr>
        <w:t>4</w:t>
      </w:r>
      <w:r w:rsidR="00B176EC" w:rsidRPr="00A3267D">
        <w:rPr>
          <w:rFonts w:asciiTheme="minorEastAsia" w:hAnsiTheme="minorEastAsia" w:cs="Times New Roman"/>
          <w:spacing w:val="-5"/>
          <w:szCs w:val="24"/>
          <w:lang w:eastAsia="zh-CN"/>
        </w:rPr>
        <w:t>.</w:t>
      </w:r>
      <w:r w:rsidR="00D85B94" w:rsidRPr="00A3267D">
        <w:rPr>
          <w:rFonts w:hint="eastAsia"/>
          <w:lang w:eastAsia="zh-CN"/>
        </w:rPr>
        <w:t xml:space="preserve"> </w:t>
      </w:r>
      <w:r w:rsidR="00D85B94" w:rsidRPr="00A3267D">
        <w:rPr>
          <w:rFonts w:asciiTheme="minorEastAsia" w:hAnsiTheme="minorEastAsia" w:cs="Times New Roman" w:hint="eastAsia"/>
          <w:spacing w:val="-5"/>
          <w:szCs w:val="24"/>
          <w:lang w:eastAsia="zh-CN"/>
        </w:rPr>
        <w:t>不确定度评定技术要求</w:t>
      </w:r>
    </w:p>
    <w:p w14:paraId="3E04CCFE" w14:textId="30C9729A" w:rsidR="006058F8" w:rsidRPr="00A3267D" w:rsidRDefault="005C382F" w:rsidP="005732D1">
      <w:pPr>
        <w:ind w:firstLine="474"/>
        <w:rPr>
          <w:rFonts w:asciiTheme="minorEastAsia" w:hAnsiTheme="minorEastAsia" w:cs="Times New Roman"/>
          <w:spacing w:val="-3"/>
          <w:szCs w:val="24"/>
          <w:lang w:eastAsia="zh-CN"/>
        </w:rPr>
      </w:pPr>
      <w:r w:rsidRPr="00A3267D">
        <w:rPr>
          <w:rFonts w:asciiTheme="minorEastAsia" w:hAnsiTheme="minorEastAsia" w:cs="Times New Roman" w:hint="eastAsia"/>
          <w:spacing w:val="-3"/>
          <w:szCs w:val="24"/>
          <w:lang w:eastAsia="zh-CN"/>
        </w:rPr>
        <w:t>规定了不确定度评定程序、确定烟气直测法</w:t>
      </w:r>
      <w:r w:rsidR="00E32598" w:rsidRPr="00A3267D">
        <w:rPr>
          <w:rFonts w:asciiTheme="minorEastAsia" w:hAnsiTheme="minorEastAsia" w:cs="Times New Roman" w:hint="eastAsia"/>
          <w:spacing w:val="-3"/>
          <w:szCs w:val="24"/>
          <w:lang w:eastAsia="zh-CN"/>
        </w:rPr>
        <w:t>的监测边界为烟囱排放口，</w:t>
      </w:r>
      <w:r w:rsidR="005D2B64" w:rsidRPr="00A3267D">
        <w:rPr>
          <w:rFonts w:ascii="Times New Roman" w:eastAsia="宋体" w:hAnsi="Times New Roman" w:cs="Times New Roman" w:hint="eastAsia"/>
          <w:spacing w:val="-3"/>
          <w:szCs w:val="24"/>
          <w:lang w:eastAsia="zh-CN"/>
        </w:rPr>
        <w:t>标准计算法</w:t>
      </w:r>
      <w:r w:rsidRPr="00A3267D">
        <w:rPr>
          <w:rFonts w:asciiTheme="minorEastAsia" w:hAnsiTheme="minorEastAsia" w:cs="Times New Roman" w:hint="eastAsia"/>
          <w:spacing w:val="-3"/>
          <w:szCs w:val="24"/>
          <w:lang w:eastAsia="zh-CN"/>
        </w:rPr>
        <w:t>的</w:t>
      </w:r>
      <w:r w:rsidR="00E32598" w:rsidRPr="00A3267D">
        <w:rPr>
          <w:rFonts w:asciiTheme="minorEastAsia" w:hAnsiTheme="minorEastAsia" w:cs="Times New Roman" w:hint="eastAsia"/>
          <w:spacing w:val="-3"/>
          <w:szCs w:val="24"/>
          <w:lang w:eastAsia="zh-CN"/>
        </w:rPr>
        <w:t>边界为熟料</w:t>
      </w:r>
      <w:r w:rsidR="001E49AA" w:rsidRPr="00A3267D">
        <w:rPr>
          <w:rFonts w:asciiTheme="minorEastAsia" w:hAnsiTheme="minorEastAsia" w:cs="Times New Roman" w:hint="eastAsia"/>
          <w:spacing w:val="-3"/>
          <w:szCs w:val="24"/>
          <w:lang w:eastAsia="zh-CN"/>
        </w:rPr>
        <w:t>生产</w:t>
      </w:r>
      <w:r w:rsidR="00E32598" w:rsidRPr="00A3267D">
        <w:rPr>
          <w:rFonts w:asciiTheme="minorEastAsia" w:hAnsiTheme="minorEastAsia" w:cs="Times New Roman" w:hint="eastAsia"/>
          <w:spacing w:val="-3"/>
          <w:szCs w:val="24"/>
          <w:lang w:eastAsia="zh-CN"/>
        </w:rPr>
        <w:t>边界</w:t>
      </w:r>
      <w:r w:rsidR="0063339B" w:rsidRPr="00A3267D">
        <w:rPr>
          <w:rFonts w:asciiTheme="minorEastAsia" w:hAnsiTheme="minorEastAsia" w:cs="Times New Roman" w:hint="eastAsia"/>
          <w:spacing w:val="-3"/>
          <w:szCs w:val="24"/>
          <w:lang w:eastAsia="zh-CN"/>
        </w:rPr>
        <w:t>（不含电力）</w:t>
      </w:r>
      <w:r w:rsidR="00E32598" w:rsidRPr="00A3267D">
        <w:rPr>
          <w:rFonts w:asciiTheme="minorEastAsia" w:hAnsiTheme="minorEastAsia" w:cs="Times New Roman" w:hint="eastAsia"/>
          <w:spacing w:val="-3"/>
          <w:szCs w:val="24"/>
          <w:lang w:eastAsia="zh-CN"/>
        </w:rPr>
        <w:t>，分别确定两种方法的</w:t>
      </w:r>
      <w:r w:rsidRPr="00A3267D">
        <w:rPr>
          <w:rFonts w:asciiTheme="minorEastAsia" w:hAnsiTheme="minorEastAsia" w:cs="Times New Roman" w:hint="eastAsia"/>
          <w:spacing w:val="-3"/>
          <w:szCs w:val="24"/>
          <w:lang w:eastAsia="zh-CN"/>
        </w:rPr>
        <w:t>不确定度来源、测量不确定度模型的建立，</w:t>
      </w:r>
      <w:r w:rsidR="00B0688E" w:rsidRPr="00A3267D">
        <w:rPr>
          <w:rFonts w:asciiTheme="minorEastAsia" w:hAnsiTheme="minorEastAsia" w:cs="Times New Roman" w:hint="eastAsia"/>
          <w:spacing w:val="-3"/>
          <w:szCs w:val="24"/>
          <w:lang w:eastAsia="zh-CN"/>
        </w:rPr>
        <w:t>并对</w:t>
      </w:r>
      <w:r w:rsidR="000A05B0" w:rsidRPr="00A3267D">
        <w:rPr>
          <w:rFonts w:asciiTheme="minorEastAsia" w:hAnsiTheme="minorEastAsia" w:cs="Times New Roman" w:hint="eastAsia"/>
          <w:spacing w:val="-3"/>
          <w:szCs w:val="24"/>
          <w:lang w:eastAsia="zh-CN"/>
        </w:rPr>
        <w:t>两种方法的</w:t>
      </w:r>
      <w:r w:rsidR="00E76E2D" w:rsidRPr="00A3267D">
        <w:rPr>
          <w:rFonts w:asciiTheme="minorEastAsia" w:hAnsiTheme="minorEastAsia" w:cs="Times New Roman" w:hint="eastAsia"/>
          <w:spacing w:val="-3"/>
          <w:szCs w:val="24"/>
          <w:lang w:eastAsia="zh-CN"/>
        </w:rPr>
        <w:t>不确定度来源</w:t>
      </w:r>
      <w:r w:rsidR="000A05B0" w:rsidRPr="00A3267D">
        <w:rPr>
          <w:rFonts w:asciiTheme="minorEastAsia" w:hAnsiTheme="minorEastAsia" w:cs="Times New Roman" w:hint="eastAsia"/>
          <w:spacing w:val="-3"/>
          <w:szCs w:val="24"/>
          <w:lang w:eastAsia="zh-CN"/>
        </w:rPr>
        <w:t>参数分别</w:t>
      </w:r>
      <w:r w:rsidR="00B0688E" w:rsidRPr="00A3267D">
        <w:rPr>
          <w:rFonts w:asciiTheme="minorEastAsia" w:hAnsiTheme="minorEastAsia" w:cs="Times New Roman" w:hint="eastAsia"/>
          <w:spacing w:val="-3"/>
          <w:szCs w:val="24"/>
          <w:lang w:eastAsia="zh-CN"/>
        </w:rPr>
        <w:t>进行不确定度的A 类评定和B 类评定。依据</w:t>
      </w:r>
      <w:r w:rsidR="000A05B0" w:rsidRPr="00A3267D">
        <w:rPr>
          <w:rFonts w:asciiTheme="minorEastAsia" w:hAnsiTheme="minorEastAsia" w:cs="Times New Roman" w:hint="eastAsia"/>
          <w:spacing w:val="-3"/>
          <w:szCs w:val="24"/>
          <w:lang w:eastAsia="zh-CN"/>
        </w:rPr>
        <w:t>《测量不确定度评定和表示》（GB/T 27418-2017</w:t>
      </w:r>
      <w:r w:rsidR="00B0688E" w:rsidRPr="00A3267D">
        <w:rPr>
          <w:rFonts w:asciiTheme="minorEastAsia" w:hAnsiTheme="minorEastAsia" w:cs="Times New Roman" w:hint="eastAsia"/>
          <w:spacing w:val="-3"/>
          <w:szCs w:val="24"/>
          <w:lang w:eastAsia="zh-CN"/>
        </w:rPr>
        <w:t>）和</w:t>
      </w:r>
      <w:r w:rsidR="000A05B0" w:rsidRPr="00A3267D">
        <w:rPr>
          <w:rFonts w:asciiTheme="minorEastAsia" w:hAnsiTheme="minorEastAsia" w:cs="Times New Roman" w:hint="eastAsia"/>
          <w:spacing w:val="-3"/>
          <w:szCs w:val="24"/>
          <w:lang w:eastAsia="zh-CN"/>
        </w:rPr>
        <w:t>《测量不确定度评定与表示》（JJF 1059.1-2012）</w:t>
      </w:r>
      <w:r w:rsidR="00B0688E" w:rsidRPr="00A3267D">
        <w:rPr>
          <w:rFonts w:asciiTheme="minorEastAsia" w:hAnsiTheme="minorEastAsia" w:cs="Times New Roman" w:hint="eastAsia"/>
          <w:spacing w:val="-3"/>
          <w:szCs w:val="24"/>
          <w:lang w:eastAsia="zh-CN"/>
        </w:rPr>
        <w:t>，</w:t>
      </w:r>
      <w:r w:rsidR="004332F5" w:rsidRPr="00A3267D">
        <w:rPr>
          <w:rFonts w:asciiTheme="minorEastAsia" w:hAnsiTheme="minorEastAsia" w:cs="Times New Roman" w:hint="eastAsia"/>
          <w:spacing w:val="-3"/>
          <w:szCs w:val="24"/>
          <w:lang w:eastAsia="zh-CN"/>
        </w:rPr>
        <w:t>给出</w:t>
      </w:r>
      <w:r w:rsidR="00B0688E" w:rsidRPr="00A3267D">
        <w:rPr>
          <w:rFonts w:asciiTheme="minorEastAsia" w:hAnsiTheme="minorEastAsia" w:cs="Times New Roman" w:hint="eastAsia"/>
          <w:spacing w:val="-3"/>
          <w:szCs w:val="24"/>
          <w:lang w:eastAsia="zh-CN"/>
        </w:rPr>
        <w:t>不确定度A类评定和B</w:t>
      </w:r>
      <w:r w:rsidR="004332F5" w:rsidRPr="00A3267D">
        <w:rPr>
          <w:rFonts w:asciiTheme="minorEastAsia" w:hAnsiTheme="minorEastAsia" w:cs="Times New Roman" w:hint="eastAsia"/>
          <w:spacing w:val="-3"/>
          <w:szCs w:val="24"/>
          <w:lang w:eastAsia="zh-CN"/>
        </w:rPr>
        <w:t>类评定的定义及</w:t>
      </w:r>
      <w:r w:rsidR="00092216" w:rsidRPr="00A3267D">
        <w:rPr>
          <w:rFonts w:asciiTheme="minorEastAsia" w:hAnsiTheme="minorEastAsia" w:cs="Times New Roman" w:hint="eastAsia"/>
          <w:spacing w:val="-3"/>
          <w:szCs w:val="24"/>
          <w:lang w:eastAsia="zh-CN"/>
        </w:rPr>
        <w:t>基本</w:t>
      </w:r>
      <w:r w:rsidR="004332F5" w:rsidRPr="00A3267D">
        <w:rPr>
          <w:rFonts w:asciiTheme="minorEastAsia" w:hAnsiTheme="minorEastAsia" w:cs="Times New Roman" w:hint="eastAsia"/>
          <w:spacing w:val="-3"/>
          <w:szCs w:val="24"/>
          <w:lang w:eastAsia="zh-CN"/>
        </w:rPr>
        <w:t>评定方法</w:t>
      </w:r>
      <w:r w:rsidR="00B0688E" w:rsidRPr="00A3267D">
        <w:rPr>
          <w:rFonts w:asciiTheme="minorEastAsia" w:hAnsiTheme="minorEastAsia" w:cs="Times New Roman" w:hint="eastAsia"/>
          <w:spacing w:val="-3"/>
          <w:szCs w:val="24"/>
          <w:lang w:eastAsia="zh-CN"/>
        </w:rPr>
        <w:t>。</w:t>
      </w:r>
    </w:p>
    <w:p w14:paraId="2C909E38" w14:textId="77777777" w:rsidR="006058F8" w:rsidRPr="00A3267D" w:rsidRDefault="006058F8" w:rsidP="005732D1">
      <w:pPr>
        <w:ind w:firstLine="474"/>
        <w:rPr>
          <w:rFonts w:asciiTheme="minorEastAsia" w:hAnsiTheme="minorEastAsia" w:cs="Times New Roman"/>
          <w:spacing w:val="-3"/>
          <w:szCs w:val="24"/>
          <w:lang w:eastAsia="zh-CN"/>
        </w:rPr>
      </w:pPr>
      <w:r w:rsidRPr="00A3267D">
        <w:rPr>
          <w:rFonts w:asciiTheme="minorEastAsia" w:hAnsiTheme="minorEastAsia" w:cs="Times New Roman" w:hint="eastAsia"/>
          <w:spacing w:val="-3"/>
          <w:szCs w:val="24"/>
          <w:lang w:eastAsia="zh-CN"/>
        </w:rPr>
        <w:t>重复性测量条件下测得的量值用统计分析的方法进行的测量不确定度分量评定为A类不确定度评定，可用标准偏差表征。</w:t>
      </w:r>
    </w:p>
    <w:p w14:paraId="22B3DC47" w14:textId="775565CA" w:rsidR="00B0688E" w:rsidRPr="00A3267D" w:rsidRDefault="006058F8" w:rsidP="005732D1">
      <w:pPr>
        <w:ind w:firstLine="474"/>
        <w:rPr>
          <w:spacing w:val="-1"/>
          <w:lang w:eastAsia="zh-CN"/>
        </w:rPr>
      </w:pPr>
      <w:r w:rsidRPr="00A3267D">
        <w:rPr>
          <w:rFonts w:asciiTheme="minorEastAsia" w:hAnsiTheme="minorEastAsia" w:cs="Times New Roman" w:hint="eastAsia"/>
          <w:spacing w:val="-3"/>
          <w:szCs w:val="24"/>
          <w:lang w:eastAsia="zh-CN"/>
        </w:rPr>
        <w:t>用不同于测量不确定度A类评定的方法对测量不确定度分量进行的评定称为测量不确定度的B类评定。当校准报告给出最大允许误差时，</w:t>
      </w:r>
      <w:r w:rsidR="005D5894" w:rsidRPr="00A3267D">
        <w:rPr>
          <w:rFonts w:asciiTheme="minorEastAsia" w:hAnsiTheme="minorEastAsia" w:cs="Times New Roman" w:hint="eastAsia"/>
          <w:spacing w:val="-3"/>
          <w:szCs w:val="24"/>
          <w:lang w:eastAsia="zh-CN"/>
        </w:rPr>
        <w:t>在测量仪器为合格的前提下可根据最大误差进行不确定度的B类评定</w:t>
      </w:r>
      <w:r w:rsidR="00485126" w:rsidRPr="00A3267D">
        <w:rPr>
          <w:rFonts w:asciiTheme="minorEastAsia" w:hAnsiTheme="minorEastAsia" w:cs="Times New Roman" w:hint="eastAsia"/>
          <w:spacing w:val="-3"/>
          <w:szCs w:val="24"/>
          <w:lang w:eastAsia="zh-CN"/>
        </w:rPr>
        <w:t>；当校准报告给出了扩展不确定度及包含因子，可依据这两者得到B类不确定度仪；当测量仪器采用对比方式给出比对误差△，且有校准仪器的扩展不确定度U及包含因子 k时，进行B类不确定度的评定</w:t>
      </w:r>
      <w:r w:rsidR="000B791D" w:rsidRPr="00A3267D">
        <w:rPr>
          <w:rFonts w:asciiTheme="minorEastAsia" w:hAnsiTheme="minorEastAsia" w:cs="Times New Roman" w:hint="eastAsia"/>
          <w:spacing w:val="-3"/>
          <w:szCs w:val="24"/>
          <w:lang w:eastAsia="zh-CN"/>
        </w:rPr>
        <w:t>时需要同时考虑比对误差及校准仪器的扩展不确定度。</w:t>
      </w:r>
    </w:p>
    <w:p w14:paraId="7DCBB9B2" w14:textId="4C0A2E64" w:rsidR="00F85837" w:rsidRPr="00A3267D" w:rsidRDefault="000A05B0" w:rsidP="005732D1">
      <w:pPr>
        <w:ind w:firstLine="474"/>
        <w:jc w:val="both"/>
        <w:rPr>
          <w:rFonts w:asciiTheme="minorEastAsia" w:hAnsiTheme="minorEastAsia" w:cs="Times New Roman"/>
          <w:spacing w:val="-1"/>
          <w:szCs w:val="24"/>
          <w:lang w:eastAsia="zh-CN"/>
        </w:rPr>
      </w:pPr>
      <w:r w:rsidRPr="00A3267D">
        <w:rPr>
          <w:rFonts w:asciiTheme="minorEastAsia" w:hAnsiTheme="minorEastAsia" w:cs="Times New Roman" w:hint="eastAsia"/>
          <w:spacing w:val="-3"/>
          <w:szCs w:val="24"/>
          <w:lang w:eastAsia="zh-CN"/>
        </w:rPr>
        <w:t>要求水</w:t>
      </w:r>
      <w:r w:rsidR="006C1FF2" w:rsidRPr="00A3267D">
        <w:rPr>
          <w:rFonts w:asciiTheme="minorEastAsia" w:hAnsiTheme="minorEastAsia" w:cs="Times New Roman" w:hint="eastAsia"/>
          <w:spacing w:val="-3"/>
          <w:szCs w:val="24"/>
          <w:lang w:eastAsia="zh-CN"/>
        </w:rPr>
        <w:t>泥熟料生产企业建立计量器具定期校准制度，定期进行全系统校准，以保障设备精度和计量数据测量值的准确性和可靠性</w:t>
      </w:r>
      <w:r w:rsidRPr="00A3267D">
        <w:rPr>
          <w:rFonts w:asciiTheme="minorEastAsia" w:hAnsiTheme="minorEastAsia" w:cs="Times New Roman" w:hint="eastAsia"/>
          <w:spacing w:val="-3"/>
          <w:szCs w:val="24"/>
          <w:lang w:eastAsia="zh-CN"/>
        </w:rPr>
        <w:t>。</w:t>
      </w:r>
    </w:p>
    <w:p w14:paraId="18B652A5" w14:textId="5226980B" w:rsidR="00FF686E" w:rsidRPr="00A3267D" w:rsidRDefault="00FF686E" w:rsidP="00924D51">
      <w:pPr>
        <w:ind w:firstLine="470"/>
        <w:jc w:val="both"/>
        <w:outlineLvl w:val="2"/>
        <w:rPr>
          <w:rFonts w:ascii="Times New Roman" w:eastAsia="Times New Roman" w:hAnsi="Times New Roman" w:cs="Times New Roman"/>
          <w:spacing w:val="-5"/>
          <w:szCs w:val="24"/>
          <w:lang w:eastAsia="zh-CN"/>
        </w:rPr>
      </w:pPr>
      <w:r w:rsidRPr="00A3267D">
        <w:rPr>
          <w:rFonts w:asciiTheme="minorEastAsia" w:hAnsiTheme="minorEastAsia" w:cs="Times New Roman" w:hint="eastAsia"/>
          <w:spacing w:val="-5"/>
          <w:szCs w:val="24"/>
          <w:lang w:eastAsia="zh-CN"/>
        </w:rPr>
        <w:t>5</w:t>
      </w:r>
      <w:r w:rsidRPr="00A3267D">
        <w:rPr>
          <w:rFonts w:asciiTheme="minorEastAsia" w:hAnsiTheme="minorEastAsia" w:cs="Times New Roman"/>
          <w:spacing w:val="-5"/>
          <w:szCs w:val="24"/>
          <w:lang w:eastAsia="zh-CN"/>
        </w:rPr>
        <w:t>.</w:t>
      </w:r>
      <w:r w:rsidR="00B83E8C" w:rsidRPr="00A3267D">
        <w:rPr>
          <w:rFonts w:hint="eastAsia"/>
          <w:lang w:eastAsia="zh-CN"/>
        </w:rPr>
        <w:t xml:space="preserve"> </w:t>
      </w:r>
      <w:r w:rsidR="00B83E8C" w:rsidRPr="00A3267D">
        <w:rPr>
          <w:rFonts w:asciiTheme="minorEastAsia" w:hAnsiTheme="minorEastAsia" w:cs="Times New Roman" w:hint="eastAsia"/>
          <w:spacing w:val="-5"/>
          <w:szCs w:val="24"/>
          <w:lang w:eastAsia="zh-CN"/>
        </w:rPr>
        <w:t>烟气直测法碳排放量不确定度评定技术要求</w:t>
      </w:r>
    </w:p>
    <w:p w14:paraId="5E523DF5" w14:textId="2FCFF66F" w:rsidR="000F3EB0" w:rsidRPr="00A3267D" w:rsidRDefault="000F3EB0" w:rsidP="000F3EB0">
      <w:pPr>
        <w:ind w:firstLine="480"/>
        <w:jc w:val="both"/>
        <w:rPr>
          <w:rFonts w:ascii="宋体" w:eastAsia="宋体" w:hAnsi="宋体" w:cs="Times New Roman"/>
          <w:szCs w:val="24"/>
          <w:lang w:eastAsia="zh-CN"/>
        </w:rPr>
      </w:pPr>
      <w:r w:rsidRPr="00A3267D">
        <w:rPr>
          <w:rFonts w:ascii="宋体" w:eastAsia="宋体" w:hAnsi="宋体" w:cs="Times New Roman"/>
          <w:szCs w:val="24"/>
          <w:lang w:eastAsia="zh-CN"/>
        </w:rPr>
        <w:t>根据</w:t>
      </w:r>
      <w:r w:rsidRPr="00A3267D">
        <w:rPr>
          <w:rFonts w:ascii="宋体" w:eastAsia="宋体" w:hAnsi="宋体" w:cs="Times New Roman" w:hint="eastAsia"/>
          <w:szCs w:val="24"/>
          <w:lang w:eastAsia="zh-CN"/>
        </w:rPr>
        <w:t>《固定污染源烟气（SO</w:t>
      </w:r>
      <w:r w:rsidRPr="00A3267D">
        <w:rPr>
          <w:rFonts w:ascii="宋体" w:eastAsia="宋体" w:hAnsi="宋体" w:cs="Times New Roman" w:hint="eastAsia"/>
          <w:szCs w:val="24"/>
          <w:vertAlign w:val="subscript"/>
          <w:lang w:eastAsia="zh-CN"/>
        </w:rPr>
        <w:t>2</w:t>
      </w:r>
      <w:r w:rsidRPr="00A3267D">
        <w:rPr>
          <w:rFonts w:ascii="宋体" w:eastAsia="宋体" w:hAnsi="宋体" w:cs="Times New Roman" w:hint="eastAsia"/>
          <w:szCs w:val="24"/>
          <w:lang w:eastAsia="zh-CN"/>
        </w:rPr>
        <w:t>、NO</w:t>
      </w:r>
      <w:r w:rsidRPr="00A3267D">
        <w:rPr>
          <w:rFonts w:ascii="宋体" w:eastAsia="宋体" w:hAnsi="宋体" w:cs="Times New Roman" w:hint="eastAsia"/>
          <w:szCs w:val="24"/>
          <w:vertAlign w:val="subscript"/>
          <w:lang w:eastAsia="zh-CN"/>
        </w:rPr>
        <w:t>X</w:t>
      </w:r>
      <w:r w:rsidRPr="00A3267D">
        <w:rPr>
          <w:rFonts w:ascii="宋体" w:eastAsia="宋体" w:hAnsi="宋体" w:cs="Times New Roman" w:hint="eastAsia"/>
          <w:szCs w:val="24"/>
          <w:lang w:eastAsia="zh-CN"/>
        </w:rPr>
        <w:t>、颗粒物）排放连续监测技术规范》（HJ 75-2017）给出水泥行业烟气直测法碳排放量的计算</w:t>
      </w:r>
      <w:r w:rsidR="007D467C" w:rsidRPr="00A3267D">
        <w:rPr>
          <w:rFonts w:ascii="宋体" w:eastAsia="宋体" w:hAnsi="宋体" w:cs="Times New Roman" w:hint="eastAsia"/>
          <w:szCs w:val="24"/>
          <w:lang w:eastAsia="zh-CN"/>
        </w:rPr>
        <w:t>方法</w:t>
      </w:r>
      <w:r w:rsidRPr="00A3267D">
        <w:rPr>
          <w:rFonts w:ascii="宋体" w:eastAsia="宋体" w:hAnsi="宋体" w:cs="Times New Roman" w:hint="eastAsia"/>
          <w:szCs w:val="24"/>
          <w:lang w:eastAsia="zh-CN"/>
        </w:rPr>
        <w:t>，并确定水泥行业烟气直测法碳排放量不确定度评定所涉及的主要参数为二氧化碳浓度、实测烟气流量、</w:t>
      </w:r>
      <w:r w:rsidR="00603E6D" w:rsidRPr="00A3267D">
        <w:rPr>
          <w:rFonts w:ascii="宋体" w:eastAsia="宋体" w:hAnsi="宋体" w:cs="Times New Roman" w:hint="eastAsia"/>
          <w:szCs w:val="24"/>
          <w:lang w:eastAsia="zh-CN"/>
        </w:rPr>
        <w:t>烟气温度、烟气压力、烟气湿度</w:t>
      </w:r>
      <w:r w:rsidR="00D62672" w:rsidRPr="00A3267D">
        <w:rPr>
          <w:rFonts w:ascii="宋体" w:eastAsia="宋体" w:hAnsi="宋体" w:cs="Times New Roman" w:hint="eastAsia"/>
          <w:szCs w:val="24"/>
          <w:lang w:eastAsia="zh-CN"/>
        </w:rPr>
        <w:t>。</w:t>
      </w:r>
      <w:r w:rsidR="00603E6D" w:rsidRPr="00A3267D">
        <w:rPr>
          <w:rFonts w:ascii="宋体" w:eastAsia="宋体" w:hAnsi="宋体" w:cs="Times New Roman" w:hint="eastAsia"/>
          <w:szCs w:val="24"/>
          <w:lang w:eastAsia="zh-CN"/>
        </w:rPr>
        <w:t>确定每种参数的标准不确定度均由其各自的A类不确定度与B类不确定度合成得到。</w:t>
      </w:r>
    </w:p>
    <w:p w14:paraId="5802AEC4" w14:textId="66B80E4D" w:rsidR="00830AD2" w:rsidRPr="00A3267D" w:rsidRDefault="00603E6D" w:rsidP="00830AD2">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依据</w:t>
      </w:r>
      <w:r w:rsidRPr="00A3267D">
        <w:rPr>
          <w:rFonts w:asciiTheme="minorEastAsia" w:hAnsiTheme="minorEastAsia" w:cs="Times New Roman" w:hint="eastAsia"/>
          <w:spacing w:val="-1"/>
          <w:szCs w:val="24"/>
          <w:lang w:eastAsia="zh-CN"/>
        </w:rPr>
        <w:t>《测量不确定度评定与表示》（JJF 1059.1-2012）中</w:t>
      </w:r>
      <w:r w:rsidR="00830AD2" w:rsidRPr="00A3267D">
        <w:rPr>
          <w:rFonts w:asciiTheme="minorEastAsia" w:hAnsiTheme="minorEastAsia" w:cs="Times New Roman" w:hint="eastAsia"/>
          <w:spacing w:val="-1"/>
          <w:szCs w:val="24"/>
          <w:lang w:eastAsia="zh-CN"/>
        </w:rPr>
        <w:t>对</w:t>
      </w:r>
      <w:r w:rsidRPr="00A3267D">
        <w:rPr>
          <w:rFonts w:asciiTheme="minorEastAsia" w:hAnsiTheme="minorEastAsia" w:cs="Times New Roman" w:hint="eastAsia"/>
          <w:spacing w:val="-1"/>
          <w:szCs w:val="24"/>
          <w:lang w:eastAsia="zh-CN"/>
        </w:rPr>
        <w:t>不确定度</w:t>
      </w:r>
      <w:r w:rsidR="00830AD2" w:rsidRPr="00A3267D">
        <w:rPr>
          <w:rFonts w:asciiTheme="minorEastAsia" w:hAnsiTheme="minorEastAsia" w:cs="Times New Roman" w:hint="eastAsia"/>
          <w:spacing w:val="-1"/>
          <w:szCs w:val="24"/>
          <w:lang w:eastAsia="zh-CN"/>
        </w:rPr>
        <w:t>的</w:t>
      </w:r>
      <w:r w:rsidRPr="00A3267D">
        <w:rPr>
          <w:rFonts w:asciiTheme="minorEastAsia" w:hAnsiTheme="minorEastAsia" w:cs="Times New Roman" w:hint="eastAsia"/>
          <w:spacing w:val="-1"/>
          <w:szCs w:val="24"/>
          <w:lang w:eastAsia="zh-CN"/>
        </w:rPr>
        <w:t>定义</w:t>
      </w:r>
      <w:r w:rsidRPr="00A3267D">
        <w:rPr>
          <w:rFonts w:ascii="宋体" w:eastAsia="宋体" w:hAnsi="宋体" w:cs="Times New Roman" w:hint="eastAsia"/>
          <w:szCs w:val="24"/>
          <w:lang w:eastAsia="zh-CN"/>
        </w:rPr>
        <w:t>给出二氧化碳浓度、实测烟气流量、烟气温度、烟气压力、烟气湿度的灵敏系数计算公式</w:t>
      </w:r>
      <w:r w:rsidR="00830AD2" w:rsidRPr="00A3267D">
        <w:rPr>
          <w:rFonts w:ascii="宋体" w:eastAsia="宋体" w:hAnsi="宋体" w:cs="Times New Roman" w:hint="eastAsia"/>
          <w:szCs w:val="24"/>
          <w:lang w:eastAsia="zh-CN"/>
        </w:rPr>
        <w:t>及直测法碳排放量的合成标准不确定度、相对合成标准不确定度、相对合成扩展不确定度计算公式。</w:t>
      </w:r>
    </w:p>
    <w:p w14:paraId="3783A933" w14:textId="0D7751BB" w:rsidR="00830AD2" w:rsidRPr="00A3267D" w:rsidRDefault="00830AD2" w:rsidP="00E90E8A">
      <w:pPr>
        <w:ind w:firstLine="470"/>
        <w:jc w:val="both"/>
        <w:outlineLvl w:val="2"/>
        <w:rPr>
          <w:rFonts w:asciiTheme="minorEastAsia" w:hAnsiTheme="minorEastAsia" w:cs="Times New Roman"/>
          <w:spacing w:val="-5"/>
          <w:szCs w:val="24"/>
          <w:lang w:eastAsia="zh-CN"/>
        </w:rPr>
      </w:pPr>
      <w:r w:rsidRPr="00A3267D">
        <w:rPr>
          <w:rFonts w:asciiTheme="minorEastAsia" w:hAnsiTheme="minorEastAsia" w:cs="Times New Roman" w:hint="eastAsia"/>
          <w:spacing w:val="-5"/>
          <w:szCs w:val="24"/>
          <w:lang w:eastAsia="zh-CN"/>
        </w:rPr>
        <w:t>6</w:t>
      </w:r>
      <w:r w:rsidRPr="00A3267D">
        <w:rPr>
          <w:rFonts w:asciiTheme="minorEastAsia" w:hAnsiTheme="minorEastAsia" w:cs="Times New Roman"/>
          <w:spacing w:val="-5"/>
          <w:szCs w:val="24"/>
          <w:lang w:eastAsia="zh-CN"/>
        </w:rPr>
        <w:t>.</w:t>
      </w:r>
      <w:r w:rsidRPr="00A3267D">
        <w:rPr>
          <w:rFonts w:asciiTheme="minorEastAsia" w:hAnsiTheme="minorEastAsia" w:cs="Times New Roman" w:hint="eastAsia"/>
          <w:spacing w:val="-5"/>
          <w:szCs w:val="24"/>
          <w:lang w:eastAsia="zh-CN"/>
        </w:rPr>
        <w:t>平衡法碳排放量不确定度评定</w:t>
      </w:r>
    </w:p>
    <w:p w14:paraId="5BAD3728" w14:textId="64765844" w:rsidR="00F85FC5" w:rsidRPr="00A3267D" w:rsidRDefault="007D467C" w:rsidP="003C6F0B">
      <w:pPr>
        <w:ind w:firstLine="480"/>
        <w:jc w:val="both"/>
        <w:rPr>
          <w:rFonts w:ascii="宋体" w:hAnsi="宋体"/>
          <w:color w:val="000000" w:themeColor="text1"/>
          <w:kern w:val="2"/>
          <w:szCs w:val="24"/>
          <w:lang w:eastAsia="zh-CN"/>
        </w:rPr>
      </w:pPr>
      <w:r w:rsidRPr="00A3267D">
        <w:rPr>
          <w:rFonts w:ascii="宋体" w:eastAsia="宋体" w:hAnsi="宋体" w:cs="Times New Roman" w:hint="eastAsia"/>
          <w:szCs w:val="24"/>
          <w:lang w:eastAsia="zh-CN"/>
        </w:rPr>
        <w:lastRenderedPageBreak/>
        <w:t>依据</w:t>
      </w:r>
      <w:r w:rsidRPr="00A3267D">
        <w:rPr>
          <w:rFonts w:ascii="宋体" w:eastAsia="宋体" w:hAnsi="宋体" w:cs="Times New Roman"/>
          <w:spacing w:val="-4"/>
          <w:szCs w:val="24"/>
          <w:lang w:eastAsia="zh-CN"/>
        </w:rPr>
        <w:t>《碳排放核算与报告要求 第8部分：水泥生产企业》（GB/T</w:t>
      </w:r>
      <w:r w:rsidRPr="00A3267D">
        <w:rPr>
          <w:rFonts w:ascii="宋体" w:eastAsia="宋体" w:hAnsi="宋体" w:cs="Times New Roman" w:hint="eastAsia"/>
          <w:spacing w:val="-4"/>
          <w:szCs w:val="24"/>
          <w:lang w:eastAsia="zh-CN"/>
        </w:rPr>
        <w:t xml:space="preserve"> </w:t>
      </w:r>
      <w:r w:rsidRPr="00A3267D">
        <w:rPr>
          <w:rFonts w:ascii="宋体" w:eastAsia="宋体" w:hAnsi="宋体" w:cs="Times New Roman"/>
          <w:spacing w:val="-4"/>
          <w:szCs w:val="24"/>
          <w:lang w:eastAsia="zh-CN"/>
        </w:rPr>
        <w:t>32151.8-</w:t>
      </w:r>
      <w:r w:rsidRPr="00A3267D">
        <w:rPr>
          <w:rFonts w:ascii="宋体" w:eastAsia="宋体" w:hAnsi="宋体" w:cs="Times New Roman" w:hint="eastAsia"/>
          <w:spacing w:val="-4"/>
          <w:szCs w:val="24"/>
          <w:lang w:eastAsia="zh-CN"/>
        </w:rPr>
        <w:t>2023</w:t>
      </w:r>
      <w:r w:rsidRPr="00A3267D">
        <w:rPr>
          <w:rFonts w:ascii="宋体" w:eastAsia="宋体" w:hAnsi="宋体" w:cs="Times New Roman"/>
          <w:spacing w:val="-4"/>
          <w:szCs w:val="24"/>
          <w:lang w:eastAsia="zh-CN"/>
        </w:rPr>
        <w:t>）给出</w:t>
      </w:r>
      <w:r w:rsidRPr="00A3267D">
        <w:rPr>
          <w:rFonts w:ascii="宋体" w:eastAsia="宋体" w:hAnsi="宋体" w:cs="Times New Roman" w:hint="eastAsia"/>
          <w:spacing w:val="-4"/>
          <w:szCs w:val="24"/>
          <w:lang w:eastAsia="zh-CN"/>
        </w:rPr>
        <w:t>水泥行业</w:t>
      </w:r>
      <w:r w:rsidR="00D3528D" w:rsidRPr="00A3267D">
        <w:rPr>
          <w:rFonts w:ascii="宋体" w:eastAsia="宋体" w:hAnsi="宋体" w:cs="Times New Roman" w:hint="eastAsia"/>
          <w:spacing w:val="-4"/>
          <w:szCs w:val="24"/>
          <w:lang w:eastAsia="zh-CN"/>
        </w:rPr>
        <w:t>的熟料生产边界中的碳排放源流和</w:t>
      </w:r>
      <w:r w:rsidRPr="00A3267D">
        <w:rPr>
          <w:rFonts w:ascii="宋体" w:eastAsia="宋体" w:hAnsi="宋体" w:cs="Times New Roman" w:hint="eastAsia"/>
          <w:spacing w:val="-4"/>
          <w:szCs w:val="24"/>
          <w:lang w:eastAsia="zh-CN"/>
        </w:rPr>
        <w:t>碳排放量的</w:t>
      </w:r>
      <w:r w:rsidR="009B4E5F" w:rsidRPr="00A3267D">
        <w:rPr>
          <w:rFonts w:ascii="宋体" w:eastAsia="宋体" w:hAnsi="宋体" w:cs="Times New Roman" w:hint="eastAsia"/>
          <w:spacing w:val="-4"/>
          <w:szCs w:val="24"/>
          <w:lang w:eastAsia="zh-CN"/>
        </w:rPr>
        <w:t>核算</w:t>
      </w:r>
      <w:r w:rsidRPr="00A3267D">
        <w:rPr>
          <w:rFonts w:ascii="宋体" w:eastAsia="宋体" w:hAnsi="宋体" w:cs="Times New Roman" w:hint="eastAsia"/>
          <w:spacing w:val="-4"/>
          <w:szCs w:val="24"/>
          <w:lang w:eastAsia="zh-CN"/>
        </w:rPr>
        <w:t>方法，</w:t>
      </w:r>
      <w:r w:rsidR="00A379CC" w:rsidRPr="00A3267D">
        <w:rPr>
          <w:rFonts w:ascii="宋体" w:eastAsia="宋体" w:hAnsi="宋体" w:cs="Times New Roman" w:hint="eastAsia"/>
          <w:spacing w:val="-4"/>
          <w:szCs w:val="24"/>
          <w:lang w:eastAsia="zh-CN"/>
        </w:rPr>
        <w:t>确定</w:t>
      </w:r>
      <w:r w:rsidR="00AB7251" w:rsidRPr="00A3267D">
        <w:rPr>
          <w:rFonts w:ascii="宋体" w:eastAsia="宋体" w:hAnsi="宋体" w:cs="Times New Roman" w:hint="eastAsia"/>
          <w:szCs w:val="24"/>
          <w:lang w:eastAsia="zh-CN"/>
        </w:rPr>
        <w:t>不确定度评定所涉及的主要参数：</w:t>
      </w:r>
      <w:r w:rsidR="00AB7251" w:rsidRPr="00A3267D">
        <w:rPr>
          <w:rFonts w:ascii="宋体" w:hAnsi="宋体" w:hint="eastAsia"/>
          <w:color w:val="000000" w:themeColor="text1"/>
          <w:kern w:val="2"/>
          <w:szCs w:val="24"/>
          <w:lang w:eastAsia="zh-CN"/>
        </w:rPr>
        <w:t>化石燃料的消耗量、化石燃料的加权平均低位发热量、</w:t>
      </w:r>
      <w:r w:rsidR="00AB7251" w:rsidRPr="00A3267D">
        <w:rPr>
          <w:rFonts w:ascii="宋体" w:hAnsi="宋体"/>
          <w:color w:val="000000" w:themeColor="text1"/>
          <w:kern w:val="2"/>
          <w:szCs w:val="24"/>
          <w:lang w:eastAsia="zh-CN"/>
        </w:rPr>
        <w:t>化石燃料的单位热值含碳量、化石燃料的碳氧化率、</w:t>
      </w:r>
      <w:r w:rsidR="00AB7251" w:rsidRPr="00A3267D">
        <w:rPr>
          <w:rFonts w:ascii="宋体" w:hAnsi="宋体" w:hint="eastAsia"/>
          <w:color w:val="000000" w:themeColor="text1"/>
          <w:kern w:val="2"/>
          <w:szCs w:val="24"/>
          <w:lang w:eastAsia="zh-CN"/>
        </w:rPr>
        <w:t>熟料产量、熟料中氧化钙的含量、熟料中氧化镁的含量、非碳酸盐替代原料消耗量、非碳酸盐替代原料中氧化钙的含量、非碳酸盐替代原料中氧化镁的含量。</w:t>
      </w:r>
      <w:r w:rsidR="00D62672" w:rsidRPr="00A3267D">
        <w:rPr>
          <w:rFonts w:ascii="宋体" w:hAnsi="宋体" w:hint="eastAsia"/>
          <w:color w:val="000000" w:themeColor="text1"/>
          <w:kern w:val="2"/>
          <w:szCs w:val="24"/>
          <w:lang w:eastAsia="zh-CN"/>
        </w:rPr>
        <w:t>给出每种参数的灵敏系数计算方法、每种参数合成不确定度的计算方法、</w:t>
      </w:r>
      <w:r w:rsidR="005D2B64" w:rsidRPr="00A3267D">
        <w:rPr>
          <w:rFonts w:ascii="Times New Roman" w:eastAsia="宋体" w:hAnsi="Times New Roman" w:cs="Times New Roman" w:hint="eastAsia"/>
          <w:spacing w:val="-3"/>
          <w:szCs w:val="24"/>
          <w:lang w:eastAsia="zh-CN"/>
        </w:rPr>
        <w:t>标准计算法</w:t>
      </w:r>
      <w:r w:rsidR="00A83A72" w:rsidRPr="00A3267D">
        <w:rPr>
          <w:rFonts w:ascii="宋体" w:hAnsi="宋体" w:hint="eastAsia"/>
          <w:color w:val="000000" w:themeColor="text1"/>
          <w:kern w:val="2"/>
          <w:szCs w:val="24"/>
          <w:lang w:eastAsia="zh-CN"/>
        </w:rPr>
        <w:t>合成</w:t>
      </w:r>
      <w:r w:rsidR="007C4F23" w:rsidRPr="00A3267D">
        <w:rPr>
          <w:rFonts w:ascii="宋体" w:hAnsi="宋体" w:hint="eastAsia"/>
          <w:color w:val="000000" w:themeColor="text1"/>
          <w:kern w:val="2"/>
          <w:szCs w:val="24"/>
          <w:lang w:eastAsia="zh-CN"/>
        </w:rPr>
        <w:t>不确定度的计算方法和扩展不</w:t>
      </w:r>
      <w:r w:rsidR="00D62672" w:rsidRPr="00A3267D">
        <w:rPr>
          <w:rFonts w:ascii="宋体" w:hAnsi="宋体" w:hint="eastAsia"/>
          <w:color w:val="000000" w:themeColor="text1"/>
          <w:kern w:val="2"/>
          <w:szCs w:val="24"/>
          <w:lang w:eastAsia="zh-CN"/>
        </w:rPr>
        <w:t>确定度的计算方法。</w:t>
      </w:r>
    </w:p>
    <w:p w14:paraId="37F975CB" w14:textId="1F9927EB" w:rsidR="00634DB9" w:rsidRPr="00A3267D" w:rsidRDefault="00FF686E" w:rsidP="0066140C">
      <w:pPr>
        <w:ind w:firstLine="470"/>
        <w:jc w:val="both"/>
        <w:outlineLvl w:val="2"/>
        <w:rPr>
          <w:rFonts w:ascii="宋体" w:eastAsia="宋体" w:hAnsi="宋体" w:cs="Times New Roman"/>
          <w:szCs w:val="24"/>
          <w:lang w:eastAsia="zh-CN"/>
        </w:rPr>
      </w:pPr>
      <w:r w:rsidRPr="00A3267D">
        <w:rPr>
          <w:rFonts w:asciiTheme="minorEastAsia" w:hAnsiTheme="minorEastAsia" w:cs="Times New Roman" w:hint="eastAsia"/>
          <w:spacing w:val="-5"/>
          <w:szCs w:val="24"/>
          <w:lang w:eastAsia="zh-CN"/>
        </w:rPr>
        <w:t>7</w:t>
      </w:r>
      <w:r w:rsidR="00C32361">
        <w:rPr>
          <w:rFonts w:asciiTheme="minorEastAsia" w:hAnsiTheme="minorEastAsia" w:cs="Times New Roman" w:hint="eastAsia"/>
          <w:spacing w:val="-5"/>
          <w:szCs w:val="24"/>
          <w:lang w:eastAsia="zh-CN"/>
        </w:rPr>
        <w:t>.</w:t>
      </w:r>
      <w:r w:rsidR="007B7ADF" w:rsidRPr="00A3267D">
        <w:rPr>
          <w:rFonts w:asciiTheme="minorEastAsia" w:hAnsiTheme="minorEastAsia" w:cs="Times New Roman"/>
          <w:spacing w:val="-5"/>
          <w:szCs w:val="24"/>
          <w:lang w:eastAsia="zh-CN"/>
        </w:rPr>
        <w:t>关于附录</w:t>
      </w:r>
    </w:p>
    <w:p w14:paraId="48A61759" w14:textId="49348F97" w:rsidR="003C6F0B" w:rsidRPr="00A3267D" w:rsidRDefault="00496A55" w:rsidP="003C6F0B">
      <w:pPr>
        <w:spacing w:line="336" w:lineRule="auto"/>
        <w:ind w:left="28" w:right="57" w:firstLine="474"/>
        <w:jc w:val="both"/>
        <w:rPr>
          <w:rFonts w:ascii="宋体" w:eastAsia="宋体" w:hAnsi="宋体" w:cs="Times New Roman"/>
          <w:spacing w:val="-3"/>
          <w:szCs w:val="24"/>
          <w:lang w:eastAsia="zh-CN"/>
        </w:rPr>
      </w:pPr>
      <w:r w:rsidRPr="00A3267D">
        <w:rPr>
          <w:rFonts w:ascii="宋体" w:eastAsia="宋体" w:hAnsi="宋体" w:cs="Times New Roman"/>
          <w:spacing w:val="-3"/>
          <w:szCs w:val="24"/>
          <w:lang w:eastAsia="zh-CN"/>
        </w:rPr>
        <w:t>附录A</w:t>
      </w:r>
      <w:r w:rsidR="003C6F0B" w:rsidRPr="00A3267D">
        <w:rPr>
          <w:rFonts w:ascii="宋体" w:eastAsia="宋体" w:hAnsi="宋体" w:cs="Times New Roman"/>
          <w:spacing w:val="-3"/>
          <w:szCs w:val="24"/>
          <w:lang w:eastAsia="zh-CN"/>
        </w:rPr>
        <w:t>给出了烟气直测法和</w:t>
      </w:r>
      <w:r w:rsidR="00CB550A" w:rsidRPr="00A3267D">
        <w:rPr>
          <w:rFonts w:ascii="Times New Roman" w:eastAsia="宋体" w:hAnsi="Times New Roman" w:cs="Times New Roman" w:hint="eastAsia"/>
          <w:spacing w:val="-3"/>
          <w:szCs w:val="24"/>
          <w:lang w:eastAsia="zh-CN"/>
        </w:rPr>
        <w:t>标准计算法</w:t>
      </w:r>
      <w:r w:rsidR="003C6F0B" w:rsidRPr="00A3267D">
        <w:rPr>
          <w:rFonts w:ascii="宋体" w:hAnsi="宋体" w:hint="eastAsia"/>
          <w:color w:val="000000" w:themeColor="text1"/>
          <w:kern w:val="2"/>
          <w:szCs w:val="24"/>
          <w:lang w:eastAsia="zh-CN"/>
        </w:rPr>
        <w:t>的不确定度评定示例。</w:t>
      </w:r>
    </w:p>
    <w:p w14:paraId="4E4BE631" w14:textId="50ED5DC0" w:rsidR="00FA79DD" w:rsidRPr="00A3267D" w:rsidRDefault="00FA79DD" w:rsidP="00E90E8A">
      <w:pPr>
        <w:pStyle w:val="1"/>
        <w:spacing w:before="0" w:after="0" w:line="360" w:lineRule="auto"/>
        <w:ind w:firstLine="480"/>
        <w:jc w:val="both"/>
        <w:rPr>
          <w:rFonts w:ascii="黑体" w:eastAsia="黑体" w:hAnsi="黑体" w:cs="Times New Roman"/>
          <w:spacing w:val="-1"/>
          <w:sz w:val="24"/>
          <w:szCs w:val="24"/>
          <w:lang w:eastAsia="zh-CN"/>
        </w:rPr>
      </w:pPr>
      <w:r w:rsidRPr="00A3267D">
        <w:rPr>
          <w:rFonts w:ascii="黑体" w:eastAsia="黑体" w:hAnsi="黑体" w:cs="Times New Roman"/>
          <w:spacing w:val="-1"/>
          <w:sz w:val="24"/>
          <w:szCs w:val="24"/>
          <w:lang w:eastAsia="zh-CN"/>
        </w:rPr>
        <w:t>五</w:t>
      </w:r>
      <w:r w:rsidRPr="00A3267D">
        <w:rPr>
          <w:rStyle w:val="10"/>
          <w:rFonts w:ascii="黑体" w:eastAsia="黑体" w:hAnsi="黑体"/>
          <w:sz w:val="24"/>
          <w:szCs w:val="24"/>
          <w:lang w:eastAsia="zh-CN"/>
        </w:rPr>
        <w:t>、</w:t>
      </w:r>
      <w:r w:rsidR="003339FF" w:rsidRPr="00A3267D">
        <w:rPr>
          <w:rStyle w:val="10"/>
          <w:rFonts w:ascii="黑体" w:eastAsia="黑体" w:hAnsi="黑体"/>
          <w:sz w:val="24"/>
          <w:szCs w:val="24"/>
          <w:lang w:eastAsia="zh-CN"/>
        </w:rPr>
        <w:t>示例</w:t>
      </w:r>
      <w:r w:rsidR="00B478E6" w:rsidRPr="00A3267D">
        <w:rPr>
          <w:rStyle w:val="10"/>
          <w:rFonts w:ascii="黑体" w:eastAsia="黑体" w:hAnsi="黑体"/>
          <w:sz w:val="24"/>
          <w:szCs w:val="24"/>
          <w:lang w:eastAsia="zh-CN"/>
        </w:rPr>
        <w:t>不确定度评定</w:t>
      </w:r>
      <w:r w:rsidR="008779A0" w:rsidRPr="00A3267D">
        <w:rPr>
          <w:rStyle w:val="10"/>
          <w:rFonts w:ascii="黑体" w:eastAsia="黑体" w:hAnsi="黑体"/>
          <w:sz w:val="24"/>
          <w:szCs w:val="24"/>
          <w:lang w:eastAsia="zh-CN"/>
        </w:rPr>
        <w:t>分析</w:t>
      </w:r>
    </w:p>
    <w:p w14:paraId="50CABEE4" w14:textId="2DC5F86D" w:rsidR="002E67DB" w:rsidRPr="00A3267D" w:rsidRDefault="007D1EE4" w:rsidP="00B478E6">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依据某</w:t>
      </w:r>
      <w:r w:rsidR="007726BA" w:rsidRPr="00A3267D">
        <w:rPr>
          <w:rFonts w:ascii="宋体" w:eastAsia="宋体" w:hAnsi="宋体" w:cs="Times New Roman" w:hint="eastAsia"/>
          <w:szCs w:val="24"/>
          <w:lang w:eastAsia="zh-CN"/>
        </w:rPr>
        <w:t>在</w:t>
      </w:r>
      <w:r w:rsidR="008C5ED8" w:rsidRPr="00A3267D">
        <w:rPr>
          <w:rFonts w:ascii="宋体" w:eastAsia="宋体" w:hAnsi="宋体" w:cs="Times New Roman" w:hint="eastAsia"/>
          <w:szCs w:val="24"/>
          <w:lang w:eastAsia="zh-CN"/>
        </w:rPr>
        <w:t>线监测</w:t>
      </w:r>
      <w:r w:rsidR="007868BF" w:rsidRPr="00A3267D">
        <w:rPr>
          <w:rFonts w:ascii="宋体" w:eastAsia="宋体" w:hAnsi="宋体" w:cs="Times New Roman" w:hint="eastAsia"/>
          <w:szCs w:val="24"/>
          <w:lang w:eastAsia="zh-CN"/>
        </w:rPr>
        <w:t>试点</w:t>
      </w:r>
      <w:r w:rsidRPr="00A3267D">
        <w:rPr>
          <w:rFonts w:ascii="宋体" w:eastAsia="宋体" w:hAnsi="宋体" w:cs="Times New Roman" w:hint="eastAsia"/>
          <w:szCs w:val="24"/>
          <w:lang w:eastAsia="zh-CN"/>
        </w:rPr>
        <w:t>水泥厂</w:t>
      </w:r>
      <w:r w:rsidR="009A6DC7" w:rsidRPr="00A3267D">
        <w:rPr>
          <w:rFonts w:ascii="宋体" w:eastAsia="宋体" w:hAnsi="宋体" w:cs="Times New Roman" w:hint="eastAsia"/>
          <w:szCs w:val="24"/>
          <w:lang w:eastAsia="zh-CN"/>
        </w:rPr>
        <w:t>的</w:t>
      </w:r>
      <w:r w:rsidR="00357A10" w:rsidRPr="00A3267D">
        <w:rPr>
          <w:rFonts w:ascii="宋体" w:eastAsia="宋体" w:hAnsi="宋体" w:cs="Times New Roman" w:hint="eastAsia"/>
          <w:szCs w:val="24"/>
          <w:lang w:eastAsia="zh-CN"/>
        </w:rPr>
        <w:t>第三方</w:t>
      </w:r>
      <w:r w:rsidRPr="00A3267D">
        <w:rPr>
          <w:rFonts w:ascii="宋体" w:eastAsia="宋体" w:hAnsi="宋体" w:cs="Times New Roman" w:hint="eastAsia"/>
          <w:szCs w:val="24"/>
          <w:lang w:eastAsia="zh-CN"/>
        </w:rPr>
        <w:t>比对监测报告数据，</w:t>
      </w:r>
      <w:r w:rsidR="009A6DC7" w:rsidRPr="00A3267D">
        <w:rPr>
          <w:rFonts w:ascii="宋体" w:eastAsia="宋体" w:hAnsi="宋体" w:cs="Times New Roman" w:hint="eastAsia"/>
          <w:szCs w:val="24"/>
          <w:lang w:eastAsia="zh-CN"/>
        </w:rPr>
        <w:t>与</w:t>
      </w:r>
      <w:r w:rsidR="00CD4094" w:rsidRPr="00A3267D">
        <w:rPr>
          <w:rFonts w:ascii="宋体" w:eastAsia="宋体" w:hAnsi="宋体" w:cs="Times New Roman" w:hint="eastAsia"/>
          <w:szCs w:val="24"/>
          <w:lang w:eastAsia="zh-CN"/>
        </w:rPr>
        <w:t>该</w:t>
      </w:r>
      <w:r w:rsidRPr="00A3267D">
        <w:rPr>
          <w:rFonts w:ascii="宋体" w:eastAsia="宋体" w:hAnsi="宋体" w:cs="Times New Roman" w:hint="eastAsia"/>
          <w:szCs w:val="24"/>
          <w:lang w:eastAsia="zh-CN"/>
        </w:rPr>
        <w:t>工厂</w:t>
      </w:r>
      <w:r w:rsidR="00CD4094" w:rsidRPr="00A3267D">
        <w:rPr>
          <w:rFonts w:ascii="宋体" w:eastAsia="宋体" w:hAnsi="宋体" w:cs="Times New Roman" w:hint="eastAsia"/>
          <w:szCs w:val="24"/>
          <w:lang w:eastAsia="zh-CN"/>
        </w:rPr>
        <w:t>2024</w:t>
      </w:r>
      <w:r w:rsidR="00136928" w:rsidRPr="00A3267D">
        <w:rPr>
          <w:rFonts w:ascii="宋体" w:eastAsia="宋体" w:hAnsi="宋体" w:cs="Times New Roman" w:hint="eastAsia"/>
          <w:szCs w:val="24"/>
          <w:lang w:eastAsia="zh-CN"/>
        </w:rPr>
        <w:t>年</w:t>
      </w:r>
      <w:r w:rsidR="009A6DC7" w:rsidRPr="00A3267D">
        <w:rPr>
          <w:rFonts w:ascii="宋体" w:eastAsia="宋体" w:hAnsi="宋体" w:cs="Times New Roman" w:hint="eastAsia"/>
          <w:szCs w:val="24"/>
          <w:lang w:eastAsia="zh-CN"/>
        </w:rPr>
        <w:t>碳</w:t>
      </w:r>
      <w:r w:rsidR="00136928" w:rsidRPr="00A3267D">
        <w:rPr>
          <w:rFonts w:ascii="宋体" w:eastAsia="宋体" w:hAnsi="宋体" w:cs="Times New Roman" w:hint="eastAsia"/>
          <w:szCs w:val="24"/>
          <w:lang w:eastAsia="zh-CN"/>
        </w:rPr>
        <w:t>核查报告</w:t>
      </w:r>
      <w:r w:rsidRPr="00A3267D">
        <w:rPr>
          <w:rFonts w:ascii="宋体" w:eastAsia="宋体" w:hAnsi="宋体" w:cs="Times New Roman" w:hint="eastAsia"/>
          <w:szCs w:val="24"/>
          <w:lang w:eastAsia="zh-CN"/>
        </w:rPr>
        <w:t>数据及取数涉及的计量器具参数情况，分别对此水泥厂的烟气直测法和</w:t>
      </w:r>
      <w:r w:rsidR="007066E4" w:rsidRPr="00A3267D">
        <w:rPr>
          <w:rFonts w:ascii="Times New Roman" w:eastAsia="宋体" w:hAnsi="Times New Roman" w:cs="Times New Roman" w:hint="eastAsia"/>
          <w:spacing w:val="-3"/>
          <w:szCs w:val="24"/>
          <w:lang w:eastAsia="zh-CN"/>
        </w:rPr>
        <w:t>标准计算法（核算法）</w:t>
      </w:r>
      <w:r w:rsidR="009A6DC7" w:rsidRPr="00A3267D">
        <w:rPr>
          <w:rFonts w:ascii="宋体" w:eastAsia="宋体" w:hAnsi="宋体" w:cs="Times New Roman" w:hint="eastAsia"/>
          <w:szCs w:val="24"/>
          <w:lang w:eastAsia="zh-CN"/>
        </w:rPr>
        <w:t>进行</w:t>
      </w:r>
      <w:r w:rsidRPr="00A3267D">
        <w:rPr>
          <w:rFonts w:ascii="宋体" w:eastAsia="宋体" w:hAnsi="宋体" w:cs="Times New Roman" w:hint="eastAsia"/>
          <w:szCs w:val="24"/>
          <w:lang w:eastAsia="zh-CN"/>
        </w:rPr>
        <w:t>不确定度评定</w:t>
      </w:r>
      <w:r w:rsidR="00104152" w:rsidRPr="00A3267D">
        <w:rPr>
          <w:rFonts w:ascii="宋体" w:eastAsia="宋体" w:hAnsi="宋体" w:cs="Times New Roman"/>
          <w:szCs w:val="24"/>
          <w:lang w:eastAsia="zh-CN"/>
        </w:rPr>
        <w:t>。</w:t>
      </w:r>
    </w:p>
    <w:p w14:paraId="0D0A098C" w14:textId="5324873C" w:rsidR="00C83419" w:rsidRPr="00A3267D" w:rsidRDefault="00C83419" w:rsidP="0066140C">
      <w:pPr>
        <w:ind w:firstLine="470"/>
        <w:jc w:val="both"/>
        <w:outlineLvl w:val="2"/>
        <w:rPr>
          <w:rFonts w:ascii="宋体" w:eastAsia="宋体" w:hAnsi="宋体" w:cs="Times New Roman"/>
          <w:szCs w:val="24"/>
          <w:lang w:eastAsia="zh-CN"/>
        </w:rPr>
      </w:pPr>
      <w:r w:rsidRPr="00A3267D">
        <w:rPr>
          <w:rFonts w:asciiTheme="minorEastAsia" w:hAnsiTheme="minorEastAsia" w:cs="Times New Roman"/>
          <w:spacing w:val="-5"/>
          <w:szCs w:val="24"/>
          <w:lang w:eastAsia="zh-CN"/>
        </w:rPr>
        <w:t>1</w:t>
      </w:r>
      <w:r w:rsidR="003F37DF" w:rsidRPr="00A3267D">
        <w:rPr>
          <w:rFonts w:asciiTheme="minorEastAsia" w:hAnsiTheme="minorEastAsia" w:cs="Times New Roman"/>
          <w:spacing w:val="-5"/>
          <w:szCs w:val="24"/>
          <w:lang w:eastAsia="zh-CN"/>
        </w:rPr>
        <w:t>.</w:t>
      </w:r>
      <w:r w:rsidR="000C75D6" w:rsidRPr="00A3267D">
        <w:rPr>
          <w:rFonts w:asciiTheme="minorEastAsia" w:hAnsiTheme="minorEastAsia" w:cs="Times New Roman" w:hint="eastAsia"/>
          <w:spacing w:val="-5"/>
          <w:szCs w:val="24"/>
          <w:lang w:eastAsia="zh-CN"/>
        </w:rPr>
        <w:t xml:space="preserve"> 烟气直测法的不确定度评定</w:t>
      </w:r>
    </w:p>
    <w:p w14:paraId="07E18855" w14:textId="18ADA1EC" w:rsidR="00175D35" w:rsidRPr="00A3267D" w:rsidRDefault="00175D35" w:rsidP="00A967D9">
      <w:pPr>
        <w:ind w:firstLine="480"/>
        <w:rPr>
          <w:rFonts w:ascii="宋体" w:eastAsia="宋体" w:hAnsi="宋体" w:cs="Times New Roman"/>
          <w:szCs w:val="24"/>
          <w:lang w:eastAsia="zh-CN"/>
        </w:rPr>
      </w:pPr>
      <w:r w:rsidRPr="00A3267D">
        <w:rPr>
          <w:rFonts w:ascii="宋体" w:eastAsia="宋体" w:hAnsi="宋体" w:cs="Times New Roman" w:hint="eastAsia"/>
          <w:szCs w:val="24"/>
          <w:lang w:eastAsia="zh-CN"/>
        </w:rPr>
        <w:t>以该工厂的</w:t>
      </w:r>
      <w:r w:rsidR="00387A9F" w:rsidRPr="00A3267D">
        <w:rPr>
          <w:rFonts w:ascii="宋体" w:eastAsia="宋体" w:hAnsi="宋体" w:cs="Times New Roman" w:hint="eastAsia"/>
          <w:szCs w:val="24"/>
          <w:lang w:eastAsia="zh-CN"/>
        </w:rPr>
        <w:t>直测法比对监测</w:t>
      </w:r>
      <w:r w:rsidRPr="00A3267D">
        <w:rPr>
          <w:rFonts w:ascii="宋体" w:eastAsia="宋体" w:hAnsi="宋体" w:cs="Times New Roman" w:hint="eastAsia"/>
          <w:szCs w:val="24"/>
          <w:lang w:eastAsia="zh-CN"/>
        </w:rPr>
        <w:t>报告为例进行直测法的不确定度数据示例(本次比对监测暂不考虑压力</w:t>
      </w:r>
      <w:r w:rsidR="009A6DC7" w:rsidRPr="00A3267D">
        <w:rPr>
          <w:rFonts w:ascii="宋体" w:eastAsia="宋体" w:hAnsi="宋体" w:cs="Times New Roman" w:hint="eastAsia"/>
          <w:szCs w:val="24"/>
          <w:lang w:eastAsia="zh-CN"/>
        </w:rPr>
        <w:t>带来的</w:t>
      </w:r>
      <w:r w:rsidRPr="00A3267D">
        <w:rPr>
          <w:rFonts w:ascii="宋体" w:eastAsia="宋体" w:hAnsi="宋体" w:cs="Times New Roman" w:hint="eastAsia"/>
          <w:szCs w:val="24"/>
          <w:lang w:eastAsia="zh-CN"/>
        </w:rPr>
        <w:t>不确定度)</w:t>
      </w:r>
    </w:p>
    <w:p w14:paraId="664F507E" w14:textId="77777777" w:rsidR="00163BEF" w:rsidRPr="00A3267D" w:rsidRDefault="00163BEF" w:rsidP="00A967D9">
      <w:pPr>
        <w:ind w:firstLine="480"/>
        <w:rPr>
          <w:rFonts w:ascii="宋体" w:eastAsia="宋体" w:hAnsi="宋体" w:cs="Times New Roman"/>
          <w:szCs w:val="24"/>
          <w:lang w:eastAsia="zh-CN"/>
        </w:rPr>
      </w:pPr>
      <w:r w:rsidRPr="00A3267D">
        <w:rPr>
          <w:rFonts w:ascii="宋体" w:eastAsia="宋体" w:hAnsi="宋体" w:cs="Times New Roman"/>
          <w:szCs w:val="24"/>
          <w:lang w:eastAsia="zh-CN"/>
        </w:rPr>
        <w:t>根据标准中的公式</w:t>
      </w:r>
      <w:r w:rsidRPr="00A3267D">
        <w:rPr>
          <w:rFonts w:ascii="宋体" w:eastAsia="宋体" w:hAnsi="宋体" w:cs="Times New Roman" w:hint="eastAsia"/>
          <w:szCs w:val="24"/>
          <w:lang w:eastAsia="zh-CN"/>
        </w:rPr>
        <w:t>（1）、（2）</w:t>
      </w:r>
      <w:r w:rsidRPr="00A3267D">
        <w:rPr>
          <w:rFonts w:ascii="宋体" w:eastAsia="宋体" w:hAnsi="宋体" w:cs="Times New Roman"/>
          <w:szCs w:val="24"/>
          <w:lang w:eastAsia="zh-CN"/>
        </w:rPr>
        <w:t>计算烟气二氧化碳浓度、烟气流量、烟气温度、烟气湿度的A 类不确定度。</w:t>
      </w:r>
    </w:p>
    <w:p w14:paraId="0BCFE41E" w14:textId="13852D25" w:rsidR="00163BEF" w:rsidRPr="00A3267D" w:rsidRDefault="00163BEF" w:rsidP="00A967D9">
      <w:pPr>
        <w:ind w:firstLine="480"/>
        <w:jc w:val="center"/>
        <w:rPr>
          <w:rFonts w:ascii="Times New Roman" w:hAnsi="Times New Roman" w:cs="Times New Roman"/>
          <w:lang w:eastAsia="zh-CN"/>
        </w:rPr>
      </w:pPr>
      <w:r w:rsidRPr="00A3267D">
        <w:rPr>
          <w:rFonts w:ascii="Times New Roman" w:hAnsi="Times New Roman" w:cs="Times New Roman"/>
          <w:lang w:eastAsia="zh-CN"/>
        </w:rPr>
        <w:t>表</w:t>
      </w:r>
      <w:r w:rsidRPr="00A3267D">
        <w:rPr>
          <w:rFonts w:ascii="Times New Roman" w:hAnsi="Times New Roman" w:cs="Times New Roman"/>
          <w:lang w:eastAsia="zh-CN"/>
        </w:rPr>
        <w:t>1</w:t>
      </w:r>
      <w:r w:rsidR="001D4F76" w:rsidRPr="00A3267D">
        <w:rPr>
          <w:rFonts w:ascii="Times New Roman" w:hAnsi="Times New Roman" w:cs="Times New Roman"/>
          <w:lang w:eastAsia="zh-CN"/>
        </w:rPr>
        <w:t xml:space="preserve"> </w:t>
      </w:r>
      <w:r w:rsidRPr="00A3267D">
        <w:rPr>
          <w:rFonts w:ascii="Times New Roman" w:hAnsi="Times New Roman" w:cs="Times New Roman"/>
          <w:lang w:eastAsia="zh-CN"/>
        </w:rPr>
        <w:t xml:space="preserve"> </w:t>
      </w:r>
      <w:r w:rsidRPr="00A3267D">
        <w:rPr>
          <w:rFonts w:ascii="Times New Roman" w:hAnsi="Times New Roman" w:cs="Times New Roman"/>
          <w:lang w:eastAsia="zh-CN"/>
        </w:rPr>
        <w:t>各参数</w:t>
      </w:r>
      <w:r w:rsidRPr="00A3267D">
        <w:rPr>
          <w:rFonts w:ascii="Times New Roman" w:hAnsi="Times New Roman" w:cs="Times New Roman"/>
          <w:lang w:eastAsia="zh-CN"/>
        </w:rPr>
        <w:t xml:space="preserve">A </w:t>
      </w:r>
      <w:r w:rsidRPr="00A3267D">
        <w:rPr>
          <w:rFonts w:ascii="Times New Roman" w:hAnsi="Times New Roman" w:cs="Times New Roman"/>
          <w:lang w:eastAsia="zh-CN"/>
        </w:rPr>
        <w:t>类不确定一览表</w:t>
      </w:r>
    </w:p>
    <w:tbl>
      <w:tblPr>
        <w:tblStyle w:val="af7"/>
        <w:tblW w:w="0" w:type="auto"/>
        <w:tblLook w:val="04A0" w:firstRow="1" w:lastRow="0" w:firstColumn="1" w:lastColumn="0" w:noHBand="0" w:noVBand="1"/>
      </w:tblPr>
      <w:tblGrid>
        <w:gridCol w:w="1710"/>
        <w:gridCol w:w="1710"/>
        <w:gridCol w:w="1710"/>
        <w:gridCol w:w="1711"/>
        <w:gridCol w:w="1711"/>
      </w:tblGrid>
      <w:tr w:rsidR="00E90E8A" w:rsidRPr="00A3267D" w14:paraId="79BBA015" w14:textId="77777777" w:rsidTr="00335027">
        <w:tc>
          <w:tcPr>
            <w:tcW w:w="1710" w:type="dxa"/>
            <w:vAlign w:val="center"/>
          </w:tcPr>
          <w:p w14:paraId="38B71AA8" w14:textId="34FE5860"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测量物理量及单位</w:t>
            </w:r>
          </w:p>
        </w:tc>
        <w:tc>
          <w:tcPr>
            <w:tcW w:w="1710" w:type="dxa"/>
            <w:vAlign w:val="center"/>
          </w:tcPr>
          <w:p w14:paraId="63865EF1" w14:textId="59B57C79"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单位</w:t>
            </w:r>
          </w:p>
        </w:tc>
        <w:tc>
          <w:tcPr>
            <w:tcW w:w="1710" w:type="dxa"/>
            <w:vAlign w:val="center"/>
          </w:tcPr>
          <w:p w14:paraId="34F5416E" w14:textId="50C6EF9C"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重复性测量平均值</w:t>
            </w:r>
          </w:p>
        </w:tc>
        <w:tc>
          <w:tcPr>
            <w:tcW w:w="1711" w:type="dxa"/>
            <w:vAlign w:val="center"/>
          </w:tcPr>
          <w:p w14:paraId="3FDBF8CB" w14:textId="5DF57261"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A</w:t>
            </w:r>
            <w:r w:rsidRPr="00A3267D">
              <w:rPr>
                <w:rFonts w:ascii="Times New Roman" w:hAnsi="Times New Roman" w:cs="Times New Roman"/>
              </w:rPr>
              <w:t>类不确定度</w:t>
            </w:r>
          </w:p>
        </w:tc>
        <w:tc>
          <w:tcPr>
            <w:tcW w:w="1711" w:type="dxa"/>
            <w:vAlign w:val="center"/>
          </w:tcPr>
          <w:p w14:paraId="74E469CC" w14:textId="5A450FB5"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A</w:t>
            </w:r>
            <w:r w:rsidRPr="00A3267D">
              <w:rPr>
                <w:rFonts w:ascii="Times New Roman" w:hAnsi="Times New Roman" w:cs="Times New Roman"/>
              </w:rPr>
              <w:t>类相对不确定度</w:t>
            </w:r>
            <w:r w:rsidRPr="00A3267D">
              <w:rPr>
                <w:rFonts w:ascii="Times New Roman" w:hAnsi="Times New Roman" w:cs="Times New Roman"/>
              </w:rPr>
              <w:t>(%)</w:t>
            </w:r>
          </w:p>
        </w:tc>
      </w:tr>
      <w:tr w:rsidR="00E90E8A" w:rsidRPr="00A3267D" w14:paraId="548F5973" w14:textId="77777777" w:rsidTr="00335027">
        <w:tc>
          <w:tcPr>
            <w:tcW w:w="1710" w:type="dxa"/>
            <w:vAlign w:val="center"/>
          </w:tcPr>
          <w:p w14:paraId="2DF931E7" w14:textId="3A8E44AB"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烟气二氧化碳浓度</w:t>
            </w:r>
          </w:p>
        </w:tc>
        <w:tc>
          <w:tcPr>
            <w:tcW w:w="1710" w:type="dxa"/>
            <w:vAlign w:val="center"/>
          </w:tcPr>
          <w:p w14:paraId="4BFC3087" w14:textId="5F2460E9"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0" w:type="dxa"/>
            <w:vAlign w:val="center"/>
          </w:tcPr>
          <w:p w14:paraId="24DE7B12" w14:textId="59BED9CD"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20.33</w:t>
            </w:r>
          </w:p>
        </w:tc>
        <w:tc>
          <w:tcPr>
            <w:tcW w:w="1711" w:type="dxa"/>
            <w:vAlign w:val="center"/>
          </w:tcPr>
          <w:p w14:paraId="062414B8" w14:textId="45312A7B"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0.27</w:t>
            </w:r>
          </w:p>
        </w:tc>
        <w:tc>
          <w:tcPr>
            <w:tcW w:w="1711" w:type="dxa"/>
            <w:vAlign w:val="center"/>
          </w:tcPr>
          <w:p w14:paraId="313B8CA5" w14:textId="09B66C09"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1.34</w:t>
            </w:r>
          </w:p>
        </w:tc>
      </w:tr>
      <w:tr w:rsidR="00E90E8A" w:rsidRPr="00A3267D" w14:paraId="2567C4C0" w14:textId="77777777" w:rsidTr="00335027">
        <w:tc>
          <w:tcPr>
            <w:tcW w:w="1710" w:type="dxa"/>
            <w:vAlign w:val="center"/>
          </w:tcPr>
          <w:p w14:paraId="1A6783DF" w14:textId="04EDF18C"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烟气流量</w:t>
            </w:r>
          </w:p>
        </w:tc>
        <w:tc>
          <w:tcPr>
            <w:tcW w:w="1710" w:type="dxa"/>
            <w:vAlign w:val="center"/>
          </w:tcPr>
          <w:p w14:paraId="103AB57E" w14:textId="3758491F"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m</w:t>
            </w:r>
            <w:r w:rsidRPr="00A3267D">
              <w:rPr>
                <w:rFonts w:ascii="Times New Roman" w:hAnsi="Times New Roman" w:cs="Times New Roman"/>
                <w:vertAlign w:val="superscript"/>
              </w:rPr>
              <w:t>3</w:t>
            </w:r>
            <w:r w:rsidRPr="00A3267D">
              <w:rPr>
                <w:rFonts w:ascii="Times New Roman" w:hAnsi="Times New Roman" w:cs="Times New Roman"/>
              </w:rPr>
              <w:t>/h</w:t>
            </w:r>
          </w:p>
        </w:tc>
        <w:tc>
          <w:tcPr>
            <w:tcW w:w="1710" w:type="dxa"/>
            <w:vAlign w:val="center"/>
          </w:tcPr>
          <w:p w14:paraId="37514E15" w14:textId="365B5196"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623860.60</w:t>
            </w:r>
          </w:p>
        </w:tc>
        <w:tc>
          <w:tcPr>
            <w:tcW w:w="1711" w:type="dxa"/>
            <w:vAlign w:val="center"/>
          </w:tcPr>
          <w:p w14:paraId="452D5505" w14:textId="23AFBD48"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2623.11</w:t>
            </w:r>
          </w:p>
        </w:tc>
        <w:tc>
          <w:tcPr>
            <w:tcW w:w="1711" w:type="dxa"/>
            <w:vAlign w:val="center"/>
          </w:tcPr>
          <w:p w14:paraId="77236F0A" w14:textId="27FD3997"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0.42</w:t>
            </w:r>
          </w:p>
        </w:tc>
      </w:tr>
      <w:tr w:rsidR="00E90E8A" w:rsidRPr="00A3267D" w14:paraId="249BA517" w14:textId="77777777" w:rsidTr="00335027">
        <w:tc>
          <w:tcPr>
            <w:tcW w:w="1710" w:type="dxa"/>
            <w:vAlign w:val="center"/>
          </w:tcPr>
          <w:p w14:paraId="18F3C5CE" w14:textId="389725CE"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烟气含湿量</w:t>
            </w:r>
          </w:p>
        </w:tc>
        <w:tc>
          <w:tcPr>
            <w:tcW w:w="1710" w:type="dxa"/>
            <w:vAlign w:val="center"/>
          </w:tcPr>
          <w:p w14:paraId="5AF83152" w14:textId="19922269"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0" w:type="dxa"/>
            <w:vAlign w:val="center"/>
          </w:tcPr>
          <w:p w14:paraId="7E890D8C" w14:textId="6855C9CC"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15.51</w:t>
            </w:r>
          </w:p>
        </w:tc>
        <w:tc>
          <w:tcPr>
            <w:tcW w:w="1711" w:type="dxa"/>
            <w:vAlign w:val="center"/>
          </w:tcPr>
          <w:p w14:paraId="6AD9B03D" w14:textId="02C0DF51"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0.15</w:t>
            </w:r>
          </w:p>
        </w:tc>
        <w:tc>
          <w:tcPr>
            <w:tcW w:w="1711" w:type="dxa"/>
            <w:vAlign w:val="center"/>
          </w:tcPr>
          <w:p w14:paraId="3C4B0215" w14:textId="3C43D050"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0.96</w:t>
            </w:r>
          </w:p>
        </w:tc>
      </w:tr>
      <w:tr w:rsidR="00E90E8A" w:rsidRPr="00A3267D" w14:paraId="39767763" w14:textId="77777777" w:rsidTr="00335027">
        <w:tc>
          <w:tcPr>
            <w:tcW w:w="1710" w:type="dxa"/>
            <w:vAlign w:val="center"/>
          </w:tcPr>
          <w:p w14:paraId="02192572" w14:textId="109B5526"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烟气温度</w:t>
            </w:r>
          </w:p>
        </w:tc>
        <w:tc>
          <w:tcPr>
            <w:tcW w:w="1710" w:type="dxa"/>
            <w:vAlign w:val="center"/>
          </w:tcPr>
          <w:p w14:paraId="19BE41D6" w14:textId="321E533F"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0" w:type="dxa"/>
            <w:vAlign w:val="center"/>
          </w:tcPr>
          <w:p w14:paraId="32F063CB" w14:textId="506C5374"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136.53</w:t>
            </w:r>
          </w:p>
        </w:tc>
        <w:tc>
          <w:tcPr>
            <w:tcW w:w="1711" w:type="dxa"/>
            <w:vAlign w:val="center"/>
          </w:tcPr>
          <w:p w14:paraId="4B31444D" w14:textId="66CA727D"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0.15</w:t>
            </w:r>
          </w:p>
        </w:tc>
        <w:tc>
          <w:tcPr>
            <w:tcW w:w="1711" w:type="dxa"/>
            <w:vAlign w:val="center"/>
          </w:tcPr>
          <w:p w14:paraId="3C162AD8" w14:textId="7F970E15"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0.11</w:t>
            </w:r>
          </w:p>
        </w:tc>
      </w:tr>
      <w:tr w:rsidR="00E90E8A" w:rsidRPr="00A3267D" w14:paraId="5EB58FD1" w14:textId="77777777" w:rsidTr="00335027">
        <w:tc>
          <w:tcPr>
            <w:tcW w:w="1710" w:type="dxa"/>
            <w:vAlign w:val="center"/>
          </w:tcPr>
          <w:p w14:paraId="38ED4DD4" w14:textId="61043250"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lang w:eastAsia="zh-CN"/>
              </w:rPr>
              <w:t>碳排放量瞬时质量流量</w:t>
            </w:r>
          </w:p>
        </w:tc>
        <w:tc>
          <w:tcPr>
            <w:tcW w:w="1710" w:type="dxa"/>
            <w:vAlign w:val="center"/>
          </w:tcPr>
          <w:p w14:paraId="02CF8F18" w14:textId="790B1C79"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t/h</w:t>
            </w:r>
          </w:p>
        </w:tc>
        <w:tc>
          <w:tcPr>
            <w:tcW w:w="1710" w:type="dxa"/>
            <w:vAlign w:val="center"/>
          </w:tcPr>
          <w:p w14:paraId="6FB12D5C" w14:textId="3E2B7CF0"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140.38</w:t>
            </w:r>
          </w:p>
        </w:tc>
        <w:tc>
          <w:tcPr>
            <w:tcW w:w="1711" w:type="dxa"/>
            <w:vAlign w:val="center"/>
          </w:tcPr>
          <w:p w14:paraId="7B26119D" w14:textId="33B40503"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1" w:type="dxa"/>
            <w:vAlign w:val="center"/>
          </w:tcPr>
          <w:p w14:paraId="7E7EBA14" w14:textId="1C3102BB" w:rsidR="00E90E8A" w:rsidRPr="00A3267D" w:rsidRDefault="00E90E8A" w:rsidP="00335027">
            <w:pPr>
              <w:ind w:firstLineChars="0" w:firstLine="0"/>
              <w:jc w:val="center"/>
              <w:rPr>
                <w:rFonts w:ascii="Times New Roman" w:hAnsi="Times New Roman" w:cs="Times New Roman"/>
                <w:lang w:eastAsia="zh-CN"/>
              </w:rPr>
            </w:pPr>
            <w:r w:rsidRPr="00A3267D">
              <w:rPr>
                <w:rFonts w:ascii="Times New Roman" w:hAnsi="Times New Roman" w:cs="Times New Roman"/>
              </w:rPr>
              <w:t>-</w:t>
            </w:r>
          </w:p>
        </w:tc>
      </w:tr>
    </w:tbl>
    <w:p w14:paraId="222784A0" w14:textId="63540758" w:rsidR="00163BEF" w:rsidRPr="00A3267D" w:rsidRDefault="00163BEF" w:rsidP="00335027">
      <w:pPr>
        <w:spacing w:beforeLines="100" w:before="240"/>
        <w:ind w:firstLine="480"/>
        <w:rPr>
          <w:rFonts w:ascii="宋体" w:eastAsia="宋体" w:hAnsi="宋体" w:cs="Times New Roman"/>
          <w:szCs w:val="24"/>
          <w:lang w:eastAsia="zh-CN"/>
        </w:rPr>
      </w:pPr>
      <w:r w:rsidRPr="00A3267D">
        <w:rPr>
          <w:rFonts w:ascii="宋体" w:eastAsia="宋体" w:hAnsi="宋体" w:cs="Times New Roman" w:hint="eastAsia"/>
          <w:szCs w:val="24"/>
          <w:lang w:eastAsia="zh-CN"/>
        </w:rPr>
        <w:lastRenderedPageBreak/>
        <w:t>根据标准公式（4）-（6）计算烟气二氧化碳浓度、烟气流量、烟气温度、烟气湿度的B类不确定度。</w:t>
      </w:r>
      <w:r w:rsidR="009E3B6A" w:rsidRPr="00A3267D">
        <w:rPr>
          <w:rFonts w:ascii="宋体" w:eastAsia="宋体" w:hAnsi="宋体" w:cs="Times New Roman" w:hint="eastAsia"/>
          <w:szCs w:val="24"/>
          <w:lang w:eastAsia="zh-CN"/>
        </w:rPr>
        <w:t>因该工厂在线监测设备厂家未提供相应的校准仪器相对扩展不确定度值，</w:t>
      </w:r>
      <w:r w:rsidR="0057254A" w:rsidRPr="00A3267D">
        <w:rPr>
          <w:rFonts w:ascii="宋体" w:eastAsia="宋体" w:hAnsi="宋体" w:cs="Times New Roman" w:hint="eastAsia"/>
          <w:szCs w:val="24"/>
          <w:lang w:eastAsia="zh-CN"/>
        </w:rPr>
        <w:t>其中</w:t>
      </w:r>
      <w:r w:rsidR="00840532" w:rsidRPr="00A3267D">
        <w:rPr>
          <w:rFonts w:ascii="宋体" w:eastAsia="宋体" w:hAnsi="宋体" w:cs="Times New Roman" w:hint="eastAsia"/>
          <w:szCs w:val="24"/>
          <w:lang w:eastAsia="zh-CN"/>
        </w:rPr>
        <w:t>流量</w:t>
      </w:r>
      <w:r w:rsidR="0057254A" w:rsidRPr="00A3267D">
        <w:rPr>
          <w:rFonts w:ascii="宋体" w:eastAsia="宋体" w:hAnsi="宋体" w:cs="Times New Roman" w:hint="eastAsia"/>
          <w:szCs w:val="24"/>
          <w:lang w:eastAsia="zh-CN"/>
        </w:rPr>
        <w:t>不确定度</w:t>
      </w:r>
      <w:r w:rsidR="00840532" w:rsidRPr="00A3267D">
        <w:rPr>
          <w:rFonts w:ascii="宋体" w:eastAsia="宋体" w:hAnsi="宋体" w:cs="Times New Roman" w:hint="eastAsia"/>
          <w:szCs w:val="24"/>
          <w:lang w:eastAsia="zh-CN"/>
        </w:rPr>
        <w:t>参考的《</w:t>
      </w:r>
      <w:r w:rsidR="000577BE" w:rsidRPr="00A3267D">
        <w:rPr>
          <w:rFonts w:ascii="宋体" w:eastAsia="宋体" w:hAnsi="宋体" w:cs="Times New Roman" w:hint="eastAsia"/>
          <w:szCs w:val="24"/>
          <w:lang w:eastAsia="zh-CN"/>
        </w:rPr>
        <w:t>电站锅炉性能试验规程</w:t>
      </w:r>
      <w:r w:rsidR="00840532" w:rsidRPr="00A3267D">
        <w:rPr>
          <w:rFonts w:ascii="宋体" w:eastAsia="宋体" w:hAnsi="宋体" w:cs="Times New Roman" w:hint="eastAsia"/>
          <w:szCs w:val="24"/>
          <w:lang w:eastAsia="zh-CN"/>
        </w:rPr>
        <w:t>》</w:t>
      </w:r>
      <w:r w:rsidR="000577BE" w:rsidRPr="00A3267D">
        <w:rPr>
          <w:rFonts w:ascii="宋体" w:eastAsia="宋体" w:hAnsi="宋体" w:cs="Times New Roman" w:hint="eastAsia"/>
          <w:szCs w:val="24"/>
          <w:lang w:eastAsia="zh-CN"/>
        </w:rPr>
        <w:t>（GB/T</w:t>
      </w:r>
      <w:r w:rsidR="00C32361">
        <w:rPr>
          <w:rFonts w:ascii="宋体" w:eastAsia="宋体" w:hAnsi="宋体" w:cs="Times New Roman"/>
          <w:szCs w:val="24"/>
          <w:lang w:eastAsia="zh-CN"/>
        </w:rPr>
        <w:t xml:space="preserve"> </w:t>
      </w:r>
      <w:r w:rsidR="000577BE" w:rsidRPr="00A3267D">
        <w:rPr>
          <w:rFonts w:ascii="宋体" w:eastAsia="宋体" w:hAnsi="宋体" w:cs="Times New Roman" w:hint="eastAsia"/>
          <w:szCs w:val="24"/>
          <w:lang w:eastAsia="zh-CN"/>
        </w:rPr>
        <w:t>10184-2025）</w:t>
      </w:r>
      <w:r w:rsidR="00840532" w:rsidRPr="00A3267D">
        <w:rPr>
          <w:rFonts w:ascii="宋体" w:eastAsia="宋体" w:hAnsi="宋体" w:cs="Times New Roman" w:hint="eastAsia"/>
          <w:szCs w:val="24"/>
          <w:lang w:eastAsia="zh-CN"/>
        </w:rPr>
        <w:t>中表J.</w:t>
      </w:r>
      <w:bookmarkStart w:id="0" w:name="_GoBack"/>
      <w:bookmarkEnd w:id="0"/>
      <w:r w:rsidR="00840532" w:rsidRPr="00A3267D">
        <w:rPr>
          <w:rFonts w:ascii="宋体" w:eastAsia="宋体" w:hAnsi="宋体" w:cs="Times New Roman" w:hint="eastAsia"/>
          <w:szCs w:val="24"/>
          <w:lang w:eastAsia="zh-CN"/>
        </w:rPr>
        <w:t>5中</w:t>
      </w:r>
      <w:r w:rsidR="00CE1C37" w:rsidRPr="00A3267D">
        <w:rPr>
          <w:rFonts w:ascii="宋体" w:eastAsia="宋体" w:hAnsi="宋体" w:cs="Times New Roman" w:hint="eastAsia"/>
          <w:szCs w:val="24"/>
          <w:lang w:eastAsia="zh-CN"/>
        </w:rPr>
        <w:t>多点皮托管(量程内)用S型皮托管或L型皮托管标定的</w:t>
      </w:r>
      <w:r w:rsidR="001729EE" w:rsidRPr="00A3267D">
        <w:rPr>
          <w:rFonts w:ascii="宋体" w:eastAsia="宋体" w:hAnsi="宋体" w:cs="Times New Roman" w:hint="eastAsia"/>
          <w:szCs w:val="24"/>
          <w:lang w:eastAsia="zh-CN"/>
        </w:rPr>
        <w:t>B类标准不确定度</w:t>
      </w:r>
      <w:r w:rsidR="0057254A" w:rsidRPr="00A3267D">
        <w:rPr>
          <w:rFonts w:ascii="宋体" w:eastAsia="宋体" w:hAnsi="宋体" w:cs="Times New Roman" w:hint="eastAsia"/>
          <w:szCs w:val="24"/>
          <w:lang w:eastAsia="zh-CN"/>
        </w:rPr>
        <w:t>，</w:t>
      </w:r>
      <w:r w:rsidR="00F86895" w:rsidRPr="00A3267D">
        <w:rPr>
          <w:rFonts w:ascii="宋体" w:eastAsia="宋体" w:hAnsi="宋体" w:cs="Times New Roman" w:hint="eastAsia"/>
          <w:szCs w:val="24"/>
          <w:lang w:eastAsia="zh-CN"/>
        </w:rPr>
        <w:t>其他参数</w:t>
      </w:r>
      <w:r w:rsidR="009E3B6A" w:rsidRPr="00A3267D">
        <w:rPr>
          <w:rFonts w:ascii="宋体" w:eastAsia="宋体" w:hAnsi="宋体" w:cs="Times New Roman" w:hint="eastAsia"/>
          <w:szCs w:val="24"/>
          <w:lang w:eastAsia="zh-CN"/>
        </w:rPr>
        <w:t>暂仅考虑比对误差带来的不确定度值</w:t>
      </w:r>
      <w:r w:rsidR="00840532" w:rsidRPr="00A3267D">
        <w:rPr>
          <w:rFonts w:ascii="宋体" w:eastAsia="宋体" w:hAnsi="宋体" w:cs="Times New Roman" w:hint="eastAsia"/>
          <w:szCs w:val="24"/>
          <w:lang w:eastAsia="zh-CN"/>
        </w:rPr>
        <w:t>。</w:t>
      </w:r>
    </w:p>
    <w:p w14:paraId="79FD6C29" w14:textId="1EAF0932" w:rsidR="008B6CFE" w:rsidRPr="00A3267D" w:rsidRDefault="008B6CFE" w:rsidP="008B6CFE">
      <w:pPr>
        <w:spacing w:beforeLines="100" w:before="240"/>
        <w:ind w:firstLine="480"/>
        <w:jc w:val="center"/>
        <w:rPr>
          <w:rFonts w:ascii="宋体" w:eastAsia="宋体" w:hAnsi="宋体" w:cs="Times New Roman"/>
          <w:szCs w:val="24"/>
          <w:lang w:eastAsia="zh-CN"/>
        </w:rPr>
      </w:pPr>
      <w:r w:rsidRPr="00A3267D">
        <w:rPr>
          <w:rFonts w:ascii="宋体" w:eastAsia="宋体" w:hAnsi="宋体" w:cs="Times New Roman"/>
          <w:szCs w:val="24"/>
          <w:lang w:eastAsia="zh-CN"/>
        </w:rPr>
        <w:t>表</w:t>
      </w:r>
      <w:r w:rsidRPr="00A3267D">
        <w:rPr>
          <w:rFonts w:ascii="宋体" w:eastAsia="宋体" w:hAnsi="宋体" w:cs="Times New Roman" w:hint="eastAsia"/>
          <w:szCs w:val="24"/>
          <w:lang w:eastAsia="zh-CN"/>
        </w:rPr>
        <w:t>2 各参数B类不确定度一览表</w:t>
      </w:r>
    </w:p>
    <w:tbl>
      <w:tblPr>
        <w:tblStyle w:val="af7"/>
        <w:tblW w:w="0" w:type="auto"/>
        <w:tblLook w:val="04A0" w:firstRow="1" w:lastRow="0" w:firstColumn="1" w:lastColumn="0" w:noHBand="0" w:noVBand="1"/>
      </w:tblPr>
      <w:tblGrid>
        <w:gridCol w:w="1710"/>
        <w:gridCol w:w="1710"/>
        <w:gridCol w:w="1710"/>
        <w:gridCol w:w="1711"/>
        <w:gridCol w:w="1711"/>
      </w:tblGrid>
      <w:tr w:rsidR="008B6CFE" w:rsidRPr="00A3267D" w14:paraId="6E90F4B5" w14:textId="77777777" w:rsidTr="008B6CFE">
        <w:tc>
          <w:tcPr>
            <w:tcW w:w="1710" w:type="dxa"/>
            <w:vAlign w:val="center"/>
          </w:tcPr>
          <w:p w14:paraId="528A13FC" w14:textId="707C8E7D"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测量物理量及单位</w:t>
            </w:r>
          </w:p>
        </w:tc>
        <w:tc>
          <w:tcPr>
            <w:tcW w:w="1710" w:type="dxa"/>
            <w:vAlign w:val="center"/>
          </w:tcPr>
          <w:p w14:paraId="162D9C97" w14:textId="36BFEC34" w:rsidR="008B6CFE" w:rsidRPr="00A3267D" w:rsidRDefault="008B6CFE" w:rsidP="008B6CFE">
            <w:pPr>
              <w:autoSpaceDE w:val="0"/>
              <w:autoSpaceDN w:val="0"/>
              <w:adjustRightInd w:val="0"/>
              <w:ind w:firstLineChars="0" w:firstLine="0"/>
              <w:jc w:val="center"/>
              <w:rPr>
                <w:rFonts w:ascii="Times New Roman" w:hAnsi="Times New Roman" w:cs="Times New Roman"/>
              </w:rPr>
            </w:pPr>
            <w:r w:rsidRPr="00A3267D">
              <w:rPr>
                <w:rFonts w:ascii="Times New Roman" w:hAnsi="Times New Roman" w:cs="Times New Roman"/>
              </w:rPr>
              <w:t>比对误差（绝对）</w:t>
            </w:r>
          </w:p>
        </w:tc>
        <w:tc>
          <w:tcPr>
            <w:tcW w:w="1710" w:type="dxa"/>
            <w:vAlign w:val="center"/>
          </w:tcPr>
          <w:p w14:paraId="76639997" w14:textId="74C7F99D" w:rsidR="008B6CFE" w:rsidRPr="00A3267D" w:rsidRDefault="008B6CFE" w:rsidP="008B6CFE">
            <w:pPr>
              <w:autoSpaceDE w:val="0"/>
              <w:autoSpaceDN w:val="0"/>
              <w:adjustRightInd w:val="0"/>
              <w:ind w:firstLineChars="0" w:firstLine="0"/>
              <w:jc w:val="center"/>
              <w:rPr>
                <w:rFonts w:ascii="Times New Roman" w:hAnsi="Times New Roman" w:cs="Times New Roman"/>
                <w:lang w:eastAsia="zh-CN"/>
              </w:rPr>
            </w:pPr>
            <w:r w:rsidRPr="00A3267D">
              <w:rPr>
                <w:rFonts w:ascii="Times New Roman" w:hAnsi="Times New Roman" w:cs="Times New Roman"/>
                <w:lang w:eastAsia="zh-CN"/>
              </w:rPr>
              <w:t>校准仪器相对扩展不确定度</w:t>
            </w:r>
          </w:p>
          <w:p w14:paraId="6EDD11DD" w14:textId="660830F6"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w:t>
            </w:r>
            <w:r w:rsidRPr="00A3267D">
              <w:rPr>
                <w:rFonts w:ascii="Times New Roman" w:hAnsi="Times New Roman" w:cs="Times New Roman"/>
              </w:rPr>
              <w:t>k=2</w:t>
            </w:r>
            <w:r w:rsidRPr="00A3267D">
              <w:rPr>
                <w:rFonts w:ascii="Times New Roman" w:hAnsi="Times New Roman" w:cs="Times New Roman"/>
              </w:rPr>
              <w:t>）</w:t>
            </w:r>
          </w:p>
        </w:tc>
        <w:tc>
          <w:tcPr>
            <w:tcW w:w="1711" w:type="dxa"/>
            <w:vAlign w:val="center"/>
          </w:tcPr>
          <w:p w14:paraId="3203304A" w14:textId="634B37FD"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B</w:t>
            </w:r>
            <w:r w:rsidRPr="00A3267D">
              <w:rPr>
                <w:rFonts w:ascii="Times New Roman" w:hAnsi="Times New Roman" w:cs="Times New Roman"/>
              </w:rPr>
              <w:t>类不确定度</w:t>
            </w:r>
          </w:p>
        </w:tc>
        <w:tc>
          <w:tcPr>
            <w:tcW w:w="1711" w:type="dxa"/>
            <w:vAlign w:val="center"/>
          </w:tcPr>
          <w:p w14:paraId="3F605B07" w14:textId="57AFD0F5"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B</w:t>
            </w:r>
            <w:r w:rsidRPr="00A3267D">
              <w:rPr>
                <w:rFonts w:ascii="Times New Roman" w:hAnsi="Times New Roman" w:cs="Times New Roman"/>
              </w:rPr>
              <w:t>类相对不确定度</w:t>
            </w:r>
            <w:r w:rsidRPr="00A3267D">
              <w:rPr>
                <w:rFonts w:ascii="Times New Roman" w:hAnsi="Times New Roman" w:cs="Times New Roman"/>
              </w:rPr>
              <w:t>(%)</w:t>
            </w:r>
          </w:p>
        </w:tc>
      </w:tr>
      <w:tr w:rsidR="008B6CFE" w:rsidRPr="00A3267D" w14:paraId="062D94BF" w14:textId="77777777" w:rsidTr="008B6CFE">
        <w:tc>
          <w:tcPr>
            <w:tcW w:w="1710" w:type="dxa"/>
            <w:vAlign w:val="center"/>
          </w:tcPr>
          <w:p w14:paraId="4A08A370" w14:textId="0EF01E00"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烟气分析仪</w:t>
            </w:r>
            <w:r w:rsidRPr="00A3267D">
              <w:rPr>
                <w:rFonts w:ascii="Times New Roman" w:hAnsi="Times New Roman" w:cs="Times New Roman"/>
              </w:rPr>
              <w:t>CEMS</w:t>
            </w:r>
          </w:p>
        </w:tc>
        <w:tc>
          <w:tcPr>
            <w:tcW w:w="1710" w:type="dxa"/>
            <w:vAlign w:val="center"/>
          </w:tcPr>
          <w:p w14:paraId="4872D7E1" w14:textId="2CBB950E"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0.43</w:t>
            </w:r>
            <w:r w:rsidRPr="00A3267D">
              <w:rPr>
                <w:rFonts w:ascii="Times New Roman" w:hAnsi="Times New Roman" w:cs="Times New Roman" w:hint="eastAsia"/>
              </w:rPr>
              <w:t>%</w:t>
            </w:r>
          </w:p>
        </w:tc>
        <w:tc>
          <w:tcPr>
            <w:tcW w:w="1710" w:type="dxa"/>
            <w:vAlign w:val="center"/>
          </w:tcPr>
          <w:p w14:paraId="78D0A48F" w14:textId="335216A0"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1" w:type="dxa"/>
            <w:vAlign w:val="center"/>
          </w:tcPr>
          <w:p w14:paraId="7745E946" w14:textId="6D20280D"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0.25</w:t>
            </w:r>
          </w:p>
        </w:tc>
        <w:tc>
          <w:tcPr>
            <w:tcW w:w="1711" w:type="dxa"/>
            <w:vAlign w:val="center"/>
          </w:tcPr>
          <w:p w14:paraId="50130EDA" w14:textId="05AD67E6"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1.22</w:t>
            </w:r>
          </w:p>
        </w:tc>
      </w:tr>
      <w:tr w:rsidR="008B6CFE" w:rsidRPr="00A3267D" w14:paraId="291C6F27" w14:textId="77777777" w:rsidTr="008B6CFE">
        <w:tc>
          <w:tcPr>
            <w:tcW w:w="1710" w:type="dxa"/>
            <w:vAlign w:val="center"/>
          </w:tcPr>
          <w:p w14:paraId="1DB004CF" w14:textId="756B0E9A"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流量计</w:t>
            </w:r>
          </w:p>
        </w:tc>
        <w:tc>
          <w:tcPr>
            <w:tcW w:w="1710" w:type="dxa"/>
            <w:vAlign w:val="center"/>
          </w:tcPr>
          <w:p w14:paraId="04B52D21" w14:textId="687788B1"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22396.11m3/h</w:t>
            </w:r>
          </w:p>
        </w:tc>
        <w:tc>
          <w:tcPr>
            <w:tcW w:w="1710" w:type="dxa"/>
            <w:vAlign w:val="center"/>
          </w:tcPr>
          <w:p w14:paraId="3590F9BF" w14:textId="7BB845EF"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hint="eastAsia"/>
              </w:rPr>
              <w:t>20%</w:t>
            </w:r>
          </w:p>
        </w:tc>
        <w:tc>
          <w:tcPr>
            <w:tcW w:w="1711" w:type="dxa"/>
            <w:vAlign w:val="center"/>
          </w:tcPr>
          <w:p w14:paraId="15C9D50E" w14:textId="4CC3D999"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61520.65</w:t>
            </w:r>
          </w:p>
        </w:tc>
        <w:tc>
          <w:tcPr>
            <w:tcW w:w="1711" w:type="dxa"/>
            <w:vAlign w:val="center"/>
          </w:tcPr>
          <w:p w14:paraId="7AFF2431" w14:textId="107FA09F"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hint="eastAsia"/>
              </w:rPr>
              <w:t>10</w:t>
            </w:r>
            <w:r w:rsidRPr="00A3267D">
              <w:rPr>
                <w:rFonts w:ascii="Times New Roman" w:hAnsi="Times New Roman" w:cs="Times New Roman"/>
              </w:rPr>
              <w:t>.</w:t>
            </w:r>
            <w:r w:rsidRPr="00A3267D">
              <w:rPr>
                <w:rFonts w:ascii="Times New Roman" w:hAnsi="Times New Roman" w:cs="Times New Roman" w:hint="eastAsia"/>
              </w:rPr>
              <w:t>23</w:t>
            </w:r>
          </w:p>
        </w:tc>
      </w:tr>
      <w:tr w:rsidR="008B6CFE" w:rsidRPr="00A3267D" w14:paraId="29AD2DBD" w14:textId="77777777" w:rsidTr="008B6CFE">
        <w:tc>
          <w:tcPr>
            <w:tcW w:w="1710" w:type="dxa"/>
            <w:vAlign w:val="center"/>
          </w:tcPr>
          <w:p w14:paraId="42E0EEAE" w14:textId="4B54D81A"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湿度计</w:t>
            </w:r>
          </w:p>
        </w:tc>
        <w:tc>
          <w:tcPr>
            <w:tcW w:w="1710" w:type="dxa"/>
            <w:vAlign w:val="center"/>
          </w:tcPr>
          <w:p w14:paraId="4A3155F0" w14:textId="10F348AC"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0.76</w:t>
            </w:r>
            <w:r w:rsidRPr="00A3267D">
              <w:rPr>
                <w:rFonts w:ascii="Times New Roman" w:hAnsi="Times New Roman" w:cs="Times New Roman" w:hint="eastAsia"/>
              </w:rPr>
              <w:t>%</w:t>
            </w:r>
          </w:p>
        </w:tc>
        <w:tc>
          <w:tcPr>
            <w:tcW w:w="1710" w:type="dxa"/>
            <w:vAlign w:val="center"/>
          </w:tcPr>
          <w:p w14:paraId="61BAB206" w14:textId="60379F30"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1" w:type="dxa"/>
            <w:vAlign w:val="center"/>
          </w:tcPr>
          <w:p w14:paraId="524C8837" w14:textId="0B41A5AB"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0.44</w:t>
            </w:r>
          </w:p>
        </w:tc>
        <w:tc>
          <w:tcPr>
            <w:tcW w:w="1711" w:type="dxa"/>
            <w:vAlign w:val="center"/>
          </w:tcPr>
          <w:p w14:paraId="5D127F5E" w14:textId="707D438C"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2.82</w:t>
            </w:r>
          </w:p>
        </w:tc>
      </w:tr>
      <w:tr w:rsidR="008B6CFE" w:rsidRPr="00A3267D" w14:paraId="7A1499FF" w14:textId="77777777" w:rsidTr="008B6CFE">
        <w:tc>
          <w:tcPr>
            <w:tcW w:w="1710" w:type="dxa"/>
            <w:vAlign w:val="center"/>
          </w:tcPr>
          <w:p w14:paraId="37C3A9F7" w14:textId="3985FDE7"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温度计</w:t>
            </w:r>
          </w:p>
        </w:tc>
        <w:tc>
          <w:tcPr>
            <w:tcW w:w="1710" w:type="dxa"/>
            <w:vAlign w:val="center"/>
          </w:tcPr>
          <w:p w14:paraId="685C34C8" w14:textId="646A61E1"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0.83</w:t>
            </w:r>
            <w:r w:rsidRPr="00A3267D">
              <w:rPr>
                <w:rFonts w:ascii="Times New Roman" w:hAnsi="Times New Roman" w:cs="Times New Roman" w:hint="eastAsia"/>
              </w:rPr>
              <w:t>℃</w:t>
            </w:r>
          </w:p>
        </w:tc>
        <w:tc>
          <w:tcPr>
            <w:tcW w:w="1710" w:type="dxa"/>
            <w:vAlign w:val="center"/>
          </w:tcPr>
          <w:p w14:paraId="3461C482" w14:textId="6039E235"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w:t>
            </w:r>
          </w:p>
        </w:tc>
        <w:tc>
          <w:tcPr>
            <w:tcW w:w="1711" w:type="dxa"/>
            <w:vAlign w:val="center"/>
          </w:tcPr>
          <w:p w14:paraId="25BC7FA0" w14:textId="10953511"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0.48</w:t>
            </w:r>
          </w:p>
        </w:tc>
        <w:tc>
          <w:tcPr>
            <w:tcW w:w="1711" w:type="dxa"/>
            <w:vAlign w:val="center"/>
          </w:tcPr>
          <w:p w14:paraId="4B78F324" w14:textId="47219389" w:rsidR="008B6CFE" w:rsidRPr="00A3267D" w:rsidRDefault="008B6CFE" w:rsidP="008B6CFE">
            <w:pPr>
              <w:ind w:firstLineChars="0" w:firstLine="0"/>
              <w:jc w:val="center"/>
              <w:rPr>
                <w:rFonts w:ascii="Times New Roman" w:hAnsi="Times New Roman" w:cs="Times New Roman"/>
                <w:lang w:eastAsia="zh-CN"/>
              </w:rPr>
            </w:pPr>
            <w:r w:rsidRPr="00A3267D">
              <w:rPr>
                <w:rFonts w:ascii="Times New Roman" w:hAnsi="Times New Roman" w:cs="Times New Roman"/>
              </w:rPr>
              <w:t>0.35</w:t>
            </w:r>
          </w:p>
        </w:tc>
      </w:tr>
    </w:tbl>
    <w:p w14:paraId="00AD081D" w14:textId="2CCBD459" w:rsidR="00163BEF" w:rsidRPr="00A3267D" w:rsidRDefault="00163BEF" w:rsidP="00820FE5">
      <w:pPr>
        <w:spacing w:beforeLines="100" w:before="240"/>
        <w:ind w:firstLine="480"/>
        <w:rPr>
          <w:lang w:eastAsia="zh-CN"/>
        </w:rPr>
      </w:pPr>
      <w:r w:rsidRPr="00A3267D">
        <w:rPr>
          <w:rFonts w:ascii="宋体" w:eastAsia="宋体" w:hAnsi="宋体" w:cs="Times New Roman" w:hint="eastAsia"/>
          <w:szCs w:val="24"/>
          <w:lang w:eastAsia="zh-CN"/>
        </w:rPr>
        <w:t>根据</w:t>
      </w:r>
      <w:r w:rsidR="00A967D9" w:rsidRPr="00A3267D">
        <w:rPr>
          <w:rFonts w:ascii="宋体" w:eastAsia="宋体" w:hAnsi="宋体" w:cs="Times New Roman" w:hint="eastAsia"/>
          <w:szCs w:val="24"/>
          <w:lang w:eastAsia="zh-CN"/>
        </w:rPr>
        <w:t>标准中</w:t>
      </w:r>
      <w:r w:rsidRPr="00A3267D">
        <w:rPr>
          <w:rFonts w:ascii="宋体" w:eastAsia="宋体" w:hAnsi="宋体" w:cs="Times New Roman" w:hint="eastAsia"/>
          <w:szCs w:val="24"/>
          <w:lang w:eastAsia="zh-CN"/>
        </w:rPr>
        <w:t>公式（8）-（12）计算烟气二氧化碳浓度、烟气流量、烟气温度、烟气湿度的标准不确定度。</w:t>
      </w:r>
    </w:p>
    <w:p w14:paraId="091D021A" w14:textId="77777777" w:rsidR="00163BEF" w:rsidRPr="00A3267D" w:rsidRDefault="00163BEF" w:rsidP="00A967D9">
      <w:pPr>
        <w:ind w:firstLine="480"/>
        <w:jc w:val="center"/>
        <w:rPr>
          <w:rFonts w:ascii="Times New Roman"/>
          <w:lang w:eastAsia="zh-CN"/>
        </w:rPr>
      </w:pPr>
      <w:r w:rsidRPr="00A3267D">
        <w:rPr>
          <w:rFonts w:ascii="Times New Roman"/>
          <w:lang w:eastAsia="zh-CN"/>
        </w:rPr>
        <w:t>表</w:t>
      </w:r>
      <w:r w:rsidRPr="00A3267D">
        <w:rPr>
          <w:rFonts w:ascii="Times New Roman"/>
          <w:lang w:eastAsia="zh-CN"/>
        </w:rPr>
        <w:t xml:space="preserve">3 </w:t>
      </w:r>
      <w:r w:rsidRPr="00A3267D">
        <w:rPr>
          <w:rFonts w:ascii="Times New Roman"/>
          <w:lang w:eastAsia="zh-CN"/>
        </w:rPr>
        <w:t>各参数标准不确定一览表</w:t>
      </w:r>
    </w:p>
    <w:tbl>
      <w:tblPr>
        <w:tblStyle w:val="af7"/>
        <w:tblW w:w="0" w:type="auto"/>
        <w:jc w:val="center"/>
        <w:tblLook w:val="04A0" w:firstRow="1" w:lastRow="0" w:firstColumn="1" w:lastColumn="0" w:noHBand="0" w:noVBand="1"/>
      </w:tblPr>
      <w:tblGrid>
        <w:gridCol w:w="2840"/>
        <w:gridCol w:w="1096"/>
        <w:gridCol w:w="2126"/>
      </w:tblGrid>
      <w:tr w:rsidR="00163BEF" w:rsidRPr="00A3267D" w14:paraId="7E5CD1AB" w14:textId="77777777" w:rsidTr="00820FE5">
        <w:trPr>
          <w:jc w:val="center"/>
        </w:trPr>
        <w:tc>
          <w:tcPr>
            <w:tcW w:w="2840" w:type="dxa"/>
            <w:vAlign w:val="center"/>
          </w:tcPr>
          <w:p w14:paraId="38E65073" w14:textId="77777777" w:rsidR="00163BEF" w:rsidRPr="00A3267D" w:rsidRDefault="00163BEF" w:rsidP="00820FE5">
            <w:pPr>
              <w:ind w:firstLineChars="0" w:firstLine="0"/>
              <w:jc w:val="center"/>
              <w:rPr>
                <w:rFonts w:ascii="Times New Roman"/>
              </w:rPr>
            </w:pPr>
            <w:r w:rsidRPr="00A3267D">
              <w:rPr>
                <w:rFonts w:ascii="Times New Roman"/>
              </w:rPr>
              <w:t>各物理量名称</w:t>
            </w:r>
          </w:p>
        </w:tc>
        <w:tc>
          <w:tcPr>
            <w:tcW w:w="1096" w:type="dxa"/>
            <w:vAlign w:val="center"/>
          </w:tcPr>
          <w:p w14:paraId="76A9292C" w14:textId="77777777" w:rsidR="00163BEF" w:rsidRPr="00A3267D" w:rsidRDefault="00163BEF" w:rsidP="00820FE5">
            <w:pPr>
              <w:ind w:firstLineChars="0" w:firstLine="0"/>
              <w:jc w:val="center"/>
              <w:rPr>
                <w:rFonts w:ascii="Times New Roman"/>
              </w:rPr>
            </w:pPr>
            <w:r w:rsidRPr="00A3267D">
              <w:rPr>
                <w:rFonts w:ascii="Times New Roman"/>
              </w:rPr>
              <w:t>单位</w:t>
            </w:r>
          </w:p>
        </w:tc>
        <w:tc>
          <w:tcPr>
            <w:tcW w:w="2126" w:type="dxa"/>
            <w:vAlign w:val="center"/>
          </w:tcPr>
          <w:p w14:paraId="529D79F7" w14:textId="77777777" w:rsidR="00163BEF" w:rsidRPr="00A3267D" w:rsidRDefault="00163BEF" w:rsidP="00820FE5">
            <w:pPr>
              <w:ind w:firstLineChars="0" w:firstLine="0"/>
              <w:jc w:val="center"/>
              <w:rPr>
                <w:rFonts w:ascii="Times New Roman"/>
              </w:rPr>
            </w:pPr>
            <w:r w:rsidRPr="00A3267D">
              <w:rPr>
                <w:rFonts w:ascii="Times New Roman"/>
              </w:rPr>
              <w:t>合成标准不确定度</w:t>
            </w:r>
          </w:p>
        </w:tc>
      </w:tr>
      <w:tr w:rsidR="00163BEF" w:rsidRPr="00A3267D" w14:paraId="1E8ADD78" w14:textId="77777777" w:rsidTr="00820FE5">
        <w:trPr>
          <w:jc w:val="center"/>
        </w:trPr>
        <w:tc>
          <w:tcPr>
            <w:tcW w:w="2840" w:type="dxa"/>
            <w:vAlign w:val="center"/>
          </w:tcPr>
          <w:p w14:paraId="49E47E43" w14:textId="77777777" w:rsidR="00163BEF" w:rsidRPr="00A3267D" w:rsidRDefault="00163BEF" w:rsidP="00820FE5">
            <w:pPr>
              <w:ind w:firstLineChars="0" w:firstLine="0"/>
              <w:jc w:val="center"/>
              <w:rPr>
                <w:rFonts w:ascii="Times New Roman"/>
              </w:rPr>
            </w:pPr>
            <w:r w:rsidRPr="00A3267D">
              <w:rPr>
                <w:rFonts w:ascii="Times New Roman"/>
              </w:rPr>
              <w:t>烟气二氧化碳浓度</w:t>
            </w:r>
          </w:p>
        </w:tc>
        <w:tc>
          <w:tcPr>
            <w:tcW w:w="1096" w:type="dxa"/>
            <w:vAlign w:val="center"/>
          </w:tcPr>
          <w:p w14:paraId="5DCCB4D1" w14:textId="77777777" w:rsidR="00163BEF" w:rsidRPr="00A3267D" w:rsidRDefault="00163BEF" w:rsidP="00820FE5">
            <w:pPr>
              <w:ind w:firstLineChars="0" w:firstLine="0"/>
              <w:jc w:val="center"/>
              <w:rPr>
                <w:rFonts w:ascii="Times New Roman"/>
              </w:rPr>
            </w:pPr>
            <w:r w:rsidRPr="00A3267D">
              <w:rPr>
                <w:rFonts w:ascii="Times New Roman"/>
              </w:rPr>
              <w:t>%</w:t>
            </w:r>
          </w:p>
        </w:tc>
        <w:tc>
          <w:tcPr>
            <w:tcW w:w="2126" w:type="dxa"/>
            <w:vAlign w:val="center"/>
          </w:tcPr>
          <w:p w14:paraId="1141A606" w14:textId="54FBB186" w:rsidR="00163BEF" w:rsidRPr="00A3267D" w:rsidRDefault="00163BEF" w:rsidP="00820FE5">
            <w:pPr>
              <w:ind w:firstLineChars="0" w:firstLine="0"/>
              <w:jc w:val="center"/>
              <w:rPr>
                <w:rFonts w:ascii="Times New Roman"/>
              </w:rPr>
            </w:pPr>
            <w:r w:rsidRPr="00A3267D">
              <w:rPr>
                <w:rFonts w:ascii="Times New Roman"/>
              </w:rPr>
              <w:t>0.37</w:t>
            </w:r>
          </w:p>
        </w:tc>
      </w:tr>
      <w:tr w:rsidR="00163BEF" w:rsidRPr="00A3267D" w14:paraId="767D9CAB" w14:textId="77777777" w:rsidTr="00820FE5">
        <w:trPr>
          <w:jc w:val="center"/>
        </w:trPr>
        <w:tc>
          <w:tcPr>
            <w:tcW w:w="2840" w:type="dxa"/>
            <w:vAlign w:val="center"/>
          </w:tcPr>
          <w:p w14:paraId="505EFB4A" w14:textId="77777777" w:rsidR="00163BEF" w:rsidRPr="00A3267D" w:rsidRDefault="00163BEF" w:rsidP="00820FE5">
            <w:pPr>
              <w:ind w:firstLineChars="0" w:firstLine="0"/>
              <w:jc w:val="center"/>
              <w:rPr>
                <w:rFonts w:ascii="Times New Roman"/>
              </w:rPr>
            </w:pPr>
            <w:r w:rsidRPr="00A3267D">
              <w:rPr>
                <w:rFonts w:ascii="Times New Roman"/>
              </w:rPr>
              <w:t>烟气流量</w:t>
            </w:r>
          </w:p>
        </w:tc>
        <w:tc>
          <w:tcPr>
            <w:tcW w:w="1096" w:type="dxa"/>
            <w:vAlign w:val="center"/>
          </w:tcPr>
          <w:p w14:paraId="66DB36A6" w14:textId="77777777" w:rsidR="00163BEF" w:rsidRPr="00A3267D" w:rsidRDefault="00163BEF" w:rsidP="00820FE5">
            <w:pPr>
              <w:ind w:firstLineChars="0" w:firstLine="0"/>
              <w:jc w:val="center"/>
              <w:rPr>
                <w:rFonts w:ascii="Times New Roman"/>
              </w:rPr>
            </w:pPr>
            <w:r w:rsidRPr="00A3267D">
              <w:rPr>
                <w:rFonts w:ascii="Times New Roman"/>
              </w:rPr>
              <w:t>km</w:t>
            </w:r>
            <w:r w:rsidRPr="00A3267D">
              <w:rPr>
                <w:rFonts w:ascii="Times New Roman"/>
                <w:vertAlign w:val="superscript"/>
              </w:rPr>
              <w:t>3</w:t>
            </w:r>
            <w:r w:rsidRPr="00A3267D">
              <w:rPr>
                <w:rFonts w:ascii="Times New Roman"/>
              </w:rPr>
              <w:t>/h</w:t>
            </w:r>
          </w:p>
        </w:tc>
        <w:tc>
          <w:tcPr>
            <w:tcW w:w="2126" w:type="dxa"/>
            <w:vAlign w:val="center"/>
          </w:tcPr>
          <w:p w14:paraId="02CC664F" w14:textId="77777777" w:rsidR="00163BEF" w:rsidRPr="00A3267D" w:rsidRDefault="00163BEF" w:rsidP="00820FE5">
            <w:pPr>
              <w:ind w:firstLineChars="0" w:firstLine="0"/>
              <w:jc w:val="center"/>
              <w:rPr>
                <w:rFonts w:ascii="Times New Roman"/>
              </w:rPr>
            </w:pPr>
            <w:r w:rsidRPr="00A3267D">
              <w:rPr>
                <w:rFonts w:ascii="Times New Roman"/>
              </w:rPr>
              <w:t>61576.55</w:t>
            </w:r>
          </w:p>
        </w:tc>
      </w:tr>
      <w:tr w:rsidR="00163BEF" w:rsidRPr="00A3267D" w14:paraId="1714B31F" w14:textId="77777777" w:rsidTr="00820FE5">
        <w:trPr>
          <w:jc w:val="center"/>
        </w:trPr>
        <w:tc>
          <w:tcPr>
            <w:tcW w:w="2840" w:type="dxa"/>
            <w:vAlign w:val="center"/>
          </w:tcPr>
          <w:p w14:paraId="4BF04043" w14:textId="77777777" w:rsidR="00163BEF" w:rsidRPr="00A3267D" w:rsidRDefault="00163BEF" w:rsidP="00820FE5">
            <w:pPr>
              <w:ind w:firstLineChars="0" w:firstLine="0"/>
              <w:jc w:val="center"/>
              <w:rPr>
                <w:rFonts w:ascii="Times New Roman"/>
              </w:rPr>
            </w:pPr>
            <w:r w:rsidRPr="00A3267D">
              <w:rPr>
                <w:rFonts w:ascii="Times New Roman"/>
              </w:rPr>
              <w:t>烟气含湿量</w:t>
            </w:r>
          </w:p>
        </w:tc>
        <w:tc>
          <w:tcPr>
            <w:tcW w:w="1096" w:type="dxa"/>
            <w:vAlign w:val="center"/>
          </w:tcPr>
          <w:p w14:paraId="5ADE2993" w14:textId="77777777" w:rsidR="00163BEF" w:rsidRPr="00A3267D" w:rsidRDefault="00163BEF" w:rsidP="00820FE5">
            <w:pPr>
              <w:ind w:firstLineChars="0" w:firstLine="0"/>
              <w:jc w:val="center"/>
              <w:rPr>
                <w:rFonts w:ascii="Times New Roman"/>
              </w:rPr>
            </w:pPr>
            <w:r w:rsidRPr="00A3267D">
              <w:rPr>
                <w:rFonts w:ascii="Times New Roman"/>
              </w:rPr>
              <w:t>%</w:t>
            </w:r>
          </w:p>
        </w:tc>
        <w:tc>
          <w:tcPr>
            <w:tcW w:w="2126" w:type="dxa"/>
            <w:vAlign w:val="center"/>
          </w:tcPr>
          <w:p w14:paraId="17EDC113" w14:textId="77777777" w:rsidR="00163BEF" w:rsidRPr="00A3267D" w:rsidRDefault="00163BEF" w:rsidP="00820FE5">
            <w:pPr>
              <w:ind w:firstLineChars="0" w:firstLine="0"/>
              <w:jc w:val="center"/>
              <w:rPr>
                <w:rFonts w:ascii="Times New Roman"/>
              </w:rPr>
            </w:pPr>
            <w:r w:rsidRPr="00A3267D">
              <w:rPr>
                <w:rFonts w:ascii="Times New Roman"/>
              </w:rPr>
              <w:t>0.46</w:t>
            </w:r>
          </w:p>
        </w:tc>
      </w:tr>
      <w:tr w:rsidR="00163BEF" w:rsidRPr="00A3267D" w14:paraId="1AA5FBDC" w14:textId="77777777" w:rsidTr="00820FE5">
        <w:trPr>
          <w:jc w:val="center"/>
        </w:trPr>
        <w:tc>
          <w:tcPr>
            <w:tcW w:w="2840" w:type="dxa"/>
            <w:vAlign w:val="center"/>
          </w:tcPr>
          <w:p w14:paraId="10286F1A" w14:textId="77777777" w:rsidR="00163BEF" w:rsidRPr="00A3267D" w:rsidRDefault="00163BEF" w:rsidP="00820FE5">
            <w:pPr>
              <w:ind w:firstLineChars="0" w:firstLine="0"/>
              <w:jc w:val="center"/>
              <w:rPr>
                <w:rFonts w:ascii="Times New Roman"/>
              </w:rPr>
            </w:pPr>
            <w:r w:rsidRPr="00A3267D">
              <w:rPr>
                <w:rFonts w:ascii="Times New Roman"/>
              </w:rPr>
              <w:t>烟气温度</w:t>
            </w:r>
          </w:p>
        </w:tc>
        <w:tc>
          <w:tcPr>
            <w:tcW w:w="1096" w:type="dxa"/>
            <w:vAlign w:val="center"/>
          </w:tcPr>
          <w:p w14:paraId="7A3AECD1" w14:textId="77777777" w:rsidR="00163BEF" w:rsidRPr="00A3267D" w:rsidRDefault="00163BEF" w:rsidP="00820FE5">
            <w:pPr>
              <w:ind w:firstLineChars="0" w:firstLine="0"/>
              <w:jc w:val="center"/>
              <w:rPr>
                <w:rFonts w:ascii="Times New Roman"/>
              </w:rPr>
            </w:pPr>
            <w:r w:rsidRPr="00A3267D">
              <w:rPr>
                <w:rFonts w:ascii="宋体" w:eastAsia="宋体" w:hAnsi="宋体" w:cs="宋体" w:hint="eastAsia"/>
              </w:rPr>
              <w:t>℃</w:t>
            </w:r>
          </w:p>
        </w:tc>
        <w:tc>
          <w:tcPr>
            <w:tcW w:w="2126" w:type="dxa"/>
            <w:vAlign w:val="center"/>
          </w:tcPr>
          <w:p w14:paraId="419C0CDB" w14:textId="77777777" w:rsidR="00163BEF" w:rsidRPr="00A3267D" w:rsidRDefault="00163BEF" w:rsidP="00820FE5">
            <w:pPr>
              <w:ind w:firstLineChars="0" w:firstLine="0"/>
              <w:jc w:val="center"/>
              <w:rPr>
                <w:rFonts w:ascii="Times New Roman"/>
              </w:rPr>
            </w:pPr>
            <w:r w:rsidRPr="00A3267D">
              <w:rPr>
                <w:rFonts w:ascii="Times New Roman"/>
              </w:rPr>
              <w:t>0.50</w:t>
            </w:r>
          </w:p>
        </w:tc>
      </w:tr>
    </w:tbl>
    <w:p w14:paraId="551CF5BB" w14:textId="4C851ACE" w:rsidR="00AE1F4B" w:rsidRPr="00A3267D" w:rsidRDefault="00163BEF" w:rsidP="00C81F16">
      <w:pPr>
        <w:spacing w:beforeLines="100" w:before="240"/>
        <w:ind w:firstLine="480"/>
        <w:rPr>
          <w:rFonts w:ascii="Times New Roman"/>
          <w:color w:val="auto"/>
          <w:lang w:eastAsia="zh-CN"/>
        </w:rPr>
      </w:pPr>
      <w:r w:rsidRPr="00A3267D">
        <w:rPr>
          <w:rFonts w:ascii="宋体" w:eastAsia="宋体" w:hAnsi="宋体" w:cs="Times New Roman" w:hint="eastAsia"/>
          <w:szCs w:val="24"/>
          <w:lang w:eastAsia="zh-CN"/>
        </w:rPr>
        <w:t>根据公式（</w:t>
      </w:r>
      <w:r w:rsidRPr="00A3267D">
        <w:rPr>
          <w:rFonts w:ascii="宋体" w:eastAsia="宋体" w:hAnsi="宋体" w:cs="Times New Roman"/>
          <w:szCs w:val="24"/>
          <w:lang w:eastAsia="zh-CN"/>
        </w:rPr>
        <w:t>1</w:t>
      </w:r>
      <w:r w:rsidRPr="00A3267D">
        <w:rPr>
          <w:rFonts w:ascii="宋体" w:eastAsia="宋体" w:hAnsi="宋体" w:cs="Times New Roman" w:hint="eastAsia"/>
          <w:szCs w:val="24"/>
          <w:lang w:eastAsia="zh-CN"/>
        </w:rPr>
        <w:t>3）-（</w:t>
      </w:r>
      <w:r w:rsidRPr="00A3267D">
        <w:rPr>
          <w:rFonts w:ascii="宋体" w:eastAsia="宋体" w:hAnsi="宋体" w:cs="Times New Roman"/>
          <w:szCs w:val="24"/>
          <w:lang w:eastAsia="zh-CN"/>
        </w:rPr>
        <w:t>1</w:t>
      </w:r>
      <w:r w:rsidRPr="00A3267D">
        <w:rPr>
          <w:rFonts w:ascii="宋体" w:eastAsia="宋体" w:hAnsi="宋体" w:cs="Times New Roman" w:hint="eastAsia"/>
          <w:szCs w:val="24"/>
          <w:lang w:eastAsia="zh-CN"/>
        </w:rPr>
        <w:t>7）计算烟气二氧化碳浓度、烟气流量、烟气温度、烟气湿度的灵敏系数，可得各物理量的灵敏系数分别为：</w:t>
      </w:r>
      <w:r w:rsidRPr="00A3267D">
        <w:rPr>
          <w:rFonts w:ascii="宋体" w:eastAsia="宋体" w:hAnsi="宋体" w:cs="Times New Roman"/>
          <w:szCs w:val="24"/>
          <w:lang w:eastAsia="zh-CN"/>
        </w:rPr>
        <w:t>C(Cs)=6.94</w:t>
      </w:r>
      <w:r w:rsidRPr="00A3267D">
        <w:rPr>
          <w:rFonts w:ascii="宋体" w:eastAsia="宋体" w:hAnsi="宋体" w:cs="Times New Roman" w:hint="eastAsia"/>
          <w:szCs w:val="24"/>
          <w:lang w:eastAsia="zh-CN"/>
        </w:rPr>
        <w:t>、</w:t>
      </w:r>
      <w:r w:rsidRPr="00A3267D">
        <w:rPr>
          <w:rFonts w:ascii="宋体" w:eastAsia="宋体" w:hAnsi="宋体" w:cs="Times New Roman"/>
          <w:szCs w:val="24"/>
          <w:lang w:eastAsia="zh-CN"/>
        </w:rPr>
        <w:t>C(Qs)= 0.000</w:t>
      </w:r>
      <w:r w:rsidRPr="00A3267D">
        <w:rPr>
          <w:rFonts w:ascii="宋体" w:eastAsia="宋体" w:hAnsi="宋体" w:cs="Times New Roman" w:hint="eastAsia"/>
          <w:szCs w:val="24"/>
          <w:lang w:eastAsia="zh-CN"/>
        </w:rPr>
        <w:t>2</w:t>
      </w:r>
      <w:r w:rsidRPr="00A3267D">
        <w:rPr>
          <w:rFonts w:ascii="宋体" w:eastAsia="宋体" w:hAnsi="宋体" w:cs="Times New Roman"/>
          <w:szCs w:val="24"/>
          <w:lang w:eastAsia="zh-CN"/>
        </w:rPr>
        <w:t>2</w:t>
      </w:r>
      <w:r w:rsidRPr="00A3267D">
        <w:rPr>
          <w:rFonts w:ascii="宋体" w:eastAsia="宋体" w:hAnsi="宋体" w:cs="Times New Roman" w:hint="eastAsia"/>
          <w:szCs w:val="24"/>
          <w:lang w:eastAsia="zh-CN"/>
        </w:rPr>
        <w:t>6、</w:t>
      </w:r>
      <w:r w:rsidR="0057254A" w:rsidRPr="00A3267D">
        <w:rPr>
          <w:rFonts w:ascii="宋体" w:eastAsia="宋体" w:hAnsi="宋体" w:cs="Times New Roman" w:hint="eastAsia"/>
          <w:szCs w:val="24"/>
          <w:lang w:eastAsia="zh-CN"/>
        </w:rPr>
        <w:t>C(Xsw)=-1.669、C(t)=-0.34</w:t>
      </w:r>
      <w:r w:rsidRPr="00A3267D">
        <w:rPr>
          <w:rFonts w:ascii="宋体" w:eastAsia="宋体" w:hAnsi="宋体" w:cs="Times New Roman" w:hint="eastAsia"/>
          <w:szCs w:val="24"/>
          <w:lang w:eastAsia="zh-CN"/>
        </w:rPr>
        <w:t>。根据公式（</w:t>
      </w:r>
      <w:r w:rsidRPr="00A3267D">
        <w:rPr>
          <w:rFonts w:ascii="宋体" w:eastAsia="宋体" w:hAnsi="宋体" w:cs="Times New Roman"/>
          <w:szCs w:val="24"/>
          <w:lang w:eastAsia="zh-CN"/>
        </w:rPr>
        <w:t>1</w:t>
      </w:r>
      <w:r w:rsidRPr="00A3267D">
        <w:rPr>
          <w:rFonts w:ascii="宋体" w:eastAsia="宋体" w:hAnsi="宋体" w:cs="Times New Roman" w:hint="eastAsia"/>
          <w:szCs w:val="24"/>
          <w:lang w:eastAsia="zh-CN"/>
        </w:rPr>
        <w:t>8）计算碳排放</w:t>
      </w:r>
      <w:r w:rsidR="005E0DB2" w:rsidRPr="00A3267D">
        <w:rPr>
          <w:rFonts w:ascii="宋体" w:eastAsia="宋体" w:hAnsi="宋体" w:cs="Times New Roman" w:hint="eastAsia"/>
          <w:szCs w:val="24"/>
          <w:lang w:eastAsia="zh-CN"/>
        </w:rPr>
        <w:t>量</w:t>
      </w:r>
      <w:r w:rsidRPr="00A3267D">
        <w:rPr>
          <w:rFonts w:ascii="宋体" w:eastAsia="宋体" w:hAnsi="宋体" w:cs="Times New Roman" w:hint="eastAsia"/>
          <w:szCs w:val="24"/>
          <w:lang w:eastAsia="zh-CN"/>
        </w:rPr>
        <w:t>合成标准不确定度</w:t>
      </w:r>
      <w:r w:rsidRPr="00A3267D">
        <w:rPr>
          <w:rFonts w:ascii="宋体" w:eastAsia="宋体" w:hAnsi="宋体" w:cs="Times New Roman"/>
          <w:szCs w:val="24"/>
          <w:lang w:eastAsia="zh-CN"/>
        </w:rPr>
        <w:t>uc(G</w:t>
      </w:r>
      <w:r w:rsidRPr="00A3267D">
        <w:rPr>
          <w:rFonts w:ascii="宋体" w:eastAsia="宋体" w:hAnsi="宋体" w:cs="Times New Roman" w:hint="eastAsia"/>
          <w:szCs w:val="24"/>
          <w:lang w:eastAsia="zh-CN"/>
        </w:rPr>
        <w:t>c</w:t>
      </w:r>
      <w:r w:rsidRPr="00A3267D">
        <w:rPr>
          <w:rFonts w:ascii="宋体" w:eastAsia="宋体" w:hAnsi="宋体" w:cs="Times New Roman"/>
          <w:szCs w:val="24"/>
          <w:lang w:eastAsia="zh-CN"/>
        </w:rPr>
        <w:t>)=</w:t>
      </w:r>
      <w:r w:rsidRPr="00A3267D">
        <w:rPr>
          <w:rFonts w:ascii="宋体" w:eastAsia="宋体" w:hAnsi="宋体" w:cs="Times New Roman" w:hint="eastAsia"/>
          <w:szCs w:val="24"/>
          <w:lang w:eastAsia="zh-CN"/>
        </w:rPr>
        <w:t>14.18</w:t>
      </w:r>
      <w:r w:rsidRPr="00A3267D">
        <w:rPr>
          <w:rFonts w:ascii="宋体" w:eastAsia="宋体" w:hAnsi="宋体" w:cs="Times New Roman"/>
          <w:szCs w:val="24"/>
          <w:lang w:eastAsia="zh-CN"/>
        </w:rPr>
        <w:t>t/h</w:t>
      </w:r>
      <w:r w:rsidR="005E0DB2"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相对</w:t>
      </w:r>
      <w:r w:rsidR="005E0DB2" w:rsidRPr="00A3267D">
        <w:rPr>
          <w:rFonts w:ascii="宋体" w:eastAsia="宋体" w:hAnsi="宋体" w:cs="Times New Roman" w:hint="eastAsia"/>
          <w:szCs w:val="24"/>
          <w:lang w:eastAsia="zh-CN"/>
        </w:rPr>
        <w:t>标准</w:t>
      </w:r>
      <w:r w:rsidRPr="00A3267D">
        <w:rPr>
          <w:rFonts w:ascii="宋体" w:eastAsia="宋体" w:hAnsi="宋体" w:cs="Times New Roman" w:hint="eastAsia"/>
          <w:szCs w:val="24"/>
          <w:lang w:eastAsia="zh-CN"/>
        </w:rPr>
        <w:t>不确定度由公式（</w:t>
      </w:r>
      <w:r w:rsidRPr="00A3267D">
        <w:rPr>
          <w:rFonts w:ascii="宋体" w:eastAsia="宋体" w:hAnsi="宋体" w:cs="Times New Roman"/>
          <w:szCs w:val="24"/>
          <w:lang w:eastAsia="zh-CN"/>
        </w:rPr>
        <w:t>1</w:t>
      </w:r>
      <w:r w:rsidRPr="00A3267D">
        <w:rPr>
          <w:rFonts w:ascii="宋体" w:eastAsia="宋体" w:hAnsi="宋体" w:cs="Times New Roman" w:hint="eastAsia"/>
          <w:szCs w:val="24"/>
          <w:lang w:eastAsia="zh-CN"/>
        </w:rPr>
        <w:t>9）计算得</w:t>
      </w:r>
      <w:r w:rsidRPr="00A3267D">
        <w:rPr>
          <w:rFonts w:ascii="宋体" w:eastAsia="宋体" w:hAnsi="宋体" w:cs="Times New Roman"/>
          <w:szCs w:val="24"/>
          <w:lang w:eastAsia="zh-CN"/>
        </w:rPr>
        <w:t>u</w:t>
      </w:r>
      <w:r w:rsidRPr="00A3267D">
        <w:rPr>
          <w:rFonts w:ascii="宋体" w:eastAsia="宋体" w:hAnsi="宋体" w:cs="Times New Roman"/>
          <w:szCs w:val="24"/>
          <w:vertAlign w:val="subscript"/>
          <w:lang w:eastAsia="zh-CN"/>
        </w:rPr>
        <w:t>r</w:t>
      </w:r>
      <w:r w:rsidRPr="00A3267D">
        <w:rPr>
          <w:rFonts w:ascii="宋体" w:eastAsia="宋体" w:hAnsi="宋体" w:cs="Times New Roman"/>
          <w:szCs w:val="24"/>
          <w:lang w:eastAsia="zh-CN"/>
        </w:rPr>
        <w:t>(G</w:t>
      </w:r>
      <w:r w:rsidRPr="00A3267D">
        <w:rPr>
          <w:rFonts w:ascii="宋体" w:eastAsia="宋体" w:hAnsi="宋体" w:cs="Times New Roman" w:hint="eastAsia"/>
          <w:szCs w:val="24"/>
          <w:lang w:eastAsia="zh-CN"/>
        </w:rPr>
        <w:t>c</w:t>
      </w:r>
      <w:r w:rsidRPr="00A3267D">
        <w:rPr>
          <w:rFonts w:ascii="宋体" w:eastAsia="宋体" w:hAnsi="宋体" w:cs="Times New Roman"/>
          <w:szCs w:val="24"/>
          <w:lang w:eastAsia="zh-CN"/>
        </w:rPr>
        <w:t>)=</w:t>
      </w:r>
      <w:r w:rsidRPr="00A3267D">
        <w:rPr>
          <w:rFonts w:ascii="宋体" w:eastAsia="宋体" w:hAnsi="宋体" w:cs="Times New Roman" w:hint="eastAsia"/>
          <w:szCs w:val="24"/>
          <w:lang w:eastAsia="zh-CN"/>
        </w:rPr>
        <w:t>10.1</w:t>
      </w:r>
      <w:r w:rsidR="00AF5562" w:rsidRPr="00A3267D">
        <w:rPr>
          <w:rFonts w:ascii="宋体" w:eastAsia="宋体" w:hAnsi="宋体" w:cs="Times New Roman" w:hint="eastAsia"/>
          <w:szCs w:val="24"/>
          <w:lang w:eastAsia="zh-CN"/>
        </w:rPr>
        <w:t>0</w:t>
      </w:r>
      <w:r w:rsidRPr="00A3267D">
        <w:rPr>
          <w:rFonts w:ascii="宋体" w:eastAsia="宋体" w:hAnsi="宋体" w:cs="Times New Roman"/>
          <w:szCs w:val="24"/>
          <w:lang w:eastAsia="zh-CN"/>
        </w:rPr>
        <w:t>%</w:t>
      </w:r>
      <w:r w:rsidR="0057254A"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取包含因子k=2，碳排放相对扩展不确定度为：U</w:t>
      </w:r>
      <w:r w:rsidRPr="00A3267D">
        <w:rPr>
          <w:rFonts w:ascii="宋体" w:eastAsia="宋体" w:hAnsi="宋体" w:cs="Times New Roman"/>
          <w:szCs w:val="24"/>
          <w:lang w:eastAsia="zh-CN"/>
        </w:rPr>
        <w:t>r(Gc)=</w:t>
      </w:r>
      <w:r w:rsidRPr="00A3267D">
        <w:rPr>
          <w:rFonts w:ascii="宋体" w:eastAsia="宋体" w:hAnsi="宋体" w:cs="Times New Roman" w:hint="eastAsia"/>
          <w:szCs w:val="24"/>
          <w:lang w:eastAsia="zh-CN"/>
        </w:rPr>
        <w:t>20.2</w:t>
      </w:r>
      <w:r w:rsidR="00AF5562" w:rsidRPr="00A3267D">
        <w:rPr>
          <w:rFonts w:ascii="宋体" w:eastAsia="宋体" w:hAnsi="宋体" w:cs="Times New Roman" w:hint="eastAsia"/>
          <w:szCs w:val="24"/>
          <w:lang w:eastAsia="zh-CN"/>
        </w:rPr>
        <w:t>0</w:t>
      </w:r>
      <w:r w:rsidRPr="00A3267D">
        <w:rPr>
          <w:rFonts w:ascii="宋体" w:eastAsia="宋体" w:hAnsi="宋体" w:cs="Times New Roman"/>
          <w:szCs w:val="24"/>
          <w:lang w:eastAsia="zh-CN"/>
        </w:rPr>
        <w:t>%</w:t>
      </w:r>
    </w:p>
    <w:p w14:paraId="530BF7C6" w14:textId="483D9B47" w:rsidR="00AE1F4B" w:rsidRPr="00A3267D" w:rsidRDefault="00AE1F4B" w:rsidP="002836D7">
      <w:pPr>
        <w:ind w:firstLine="470"/>
        <w:jc w:val="both"/>
        <w:outlineLvl w:val="2"/>
        <w:rPr>
          <w:rFonts w:ascii="宋体" w:eastAsia="宋体" w:hAnsi="宋体" w:cs="Times New Roman"/>
          <w:szCs w:val="24"/>
          <w:lang w:eastAsia="zh-CN"/>
        </w:rPr>
      </w:pPr>
      <w:r w:rsidRPr="00A3267D">
        <w:rPr>
          <w:rFonts w:asciiTheme="minorEastAsia" w:hAnsiTheme="minorEastAsia" w:cs="Times New Roman"/>
          <w:spacing w:val="-5"/>
          <w:szCs w:val="24"/>
          <w:lang w:eastAsia="zh-CN"/>
        </w:rPr>
        <w:lastRenderedPageBreak/>
        <w:t>2</w:t>
      </w:r>
      <w:r w:rsidR="003F37DF" w:rsidRPr="00A3267D">
        <w:rPr>
          <w:rFonts w:asciiTheme="minorEastAsia" w:hAnsiTheme="minorEastAsia" w:cs="Times New Roman"/>
          <w:spacing w:val="-5"/>
          <w:szCs w:val="24"/>
          <w:lang w:eastAsia="zh-CN"/>
        </w:rPr>
        <w:t>.</w:t>
      </w:r>
      <w:r w:rsidR="000C75D6" w:rsidRPr="00A3267D">
        <w:rPr>
          <w:rFonts w:asciiTheme="minorEastAsia" w:hAnsiTheme="minorEastAsia" w:cs="Times New Roman" w:hint="eastAsia"/>
          <w:spacing w:val="-5"/>
          <w:szCs w:val="24"/>
          <w:lang w:eastAsia="zh-CN"/>
        </w:rPr>
        <w:t xml:space="preserve"> </w:t>
      </w:r>
      <w:r w:rsidR="007066E4" w:rsidRPr="00A3267D">
        <w:rPr>
          <w:rFonts w:ascii="Times New Roman" w:eastAsia="宋体" w:hAnsi="Times New Roman" w:cs="Times New Roman" w:hint="eastAsia"/>
          <w:spacing w:val="-3"/>
          <w:szCs w:val="24"/>
          <w:lang w:eastAsia="zh-CN"/>
        </w:rPr>
        <w:t>标准计算法</w:t>
      </w:r>
      <w:r w:rsidR="000C75D6" w:rsidRPr="00A3267D">
        <w:rPr>
          <w:rFonts w:asciiTheme="minorEastAsia" w:hAnsiTheme="minorEastAsia" w:cs="Times New Roman" w:hint="eastAsia"/>
          <w:spacing w:val="-5"/>
          <w:szCs w:val="24"/>
          <w:lang w:eastAsia="zh-CN"/>
        </w:rPr>
        <w:t>的不确定度评定</w:t>
      </w:r>
    </w:p>
    <w:p w14:paraId="61827E46" w14:textId="44772D95" w:rsidR="000C567C" w:rsidRPr="00A3267D" w:rsidRDefault="000C567C"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以</w:t>
      </w:r>
      <w:r w:rsidR="008C0425" w:rsidRPr="00A3267D">
        <w:rPr>
          <w:rFonts w:ascii="宋体" w:eastAsia="宋体" w:hAnsi="宋体" w:cs="Times New Roman" w:hint="eastAsia"/>
          <w:szCs w:val="24"/>
          <w:lang w:eastAsia="zh-CN"/>
        </w:rPr>
        <w:t>试点</w:t>
      </w:r>
      <w:r w:rsidRPr="00A3267D">
        <w:rPr>
          <w:rFonts w:ascii="宋体" w:eastAsia="宋体" w:hAnsi="宋体" w:cs="Times New Roman" w:hint="eastAsia"/>
          <w:szCs w:val="24"/>
          <w:lang w:eastAsia="zh-CN"/>
        </w:rPr>
        <w:t>工厂2024年的</w:t>
      </w:r>
      <w:r w:rsidR="00D97D23" w:rsidRPr="00A3267D">
        <w:rPr>
          <w:rFonts w:ascii="宋体" w:eastAsia="宋体" w:hAnsi="宋体" w:cs="Times New Roman" w:hint="eastAsia"/>
          <w:szCs w:val="24"/>
          <w:lang w:eastAsia="zh-CN"/>
        </w:rPr>
        <w:t>碳</w:t>
      </w:r>
      <w:r w:rsidR="00BC1D79" w:rsidRPr="00A3267D">
        <w:rPr>
          <w:rFonts w:ascii="宋体" w:eastAsia="宋体" w:hAnsi="宋体" w:cs="Times New Roman" w:hint="eastAsia"/>
          <w:szCs w:val="24"/>
          <w:lang w:eastAsia="zh-CN"/>
        </w:rPr>
        <w:t>核查数据及计量器具参数</w:t>
      </w:r>
      <w:r w:rsidR="00D97D23" w:rsidRPr="00A3267D">
        <w:rPr>
          <w:rFonts w:ascii="宋体" w:eastAsia="宋体" w:hAnsi="宋体" w:cs="Times New Roman" w:hint="eastAsia"/>
          <w:szCs w:val="24"/>
          <w:lang w:eastAsia="zh-CN"/>
        </w:rPr>
        <w:t>、检验校准结果</w:t>
      </w:r>
      <w:r w:rsidR="00A12251" w:rsidRPr="00A3267D">
        <w:rPr>
          <w:rFonts w:ascii="宋体" w:eastAsia="宋体" w:hAnsi="宋体" w:cs="Times New Roman" w:hint="eastAsia"/>
          <w:szCs w:val="24"/>
          <w:lang w:eastAsia="zh-CN"/>
        </w:rPr>
        <w:t>为依据，</w:t>
      </w:r>
      <w:r w:rsidR="006C3B38" w:rsidRPr="00A3267D">
        <w:rPr>
          <w:rFonts w:ascii="宋体" w:eastAsia="宋体" w:hAnsi="宋体" w:cs="Times New Roman" w:hint="eastAsia"/>
          <w:szCs w:val="24"/>
          <w:lang w:eastAsia="zh-CN"/>
        </w:rPr>
        <w:t>考虑主要默认值选取所带来的不确定，</w:t>
      </w:r>
      <w:r w:rsidRPr="00A3267D">
        <w:rPr>
          <w:rFonts w:ascii="宋体" w:eastAsia="宋体" w:hAnsi="宋体" w:cs="Times New Roman" w:hint="eastAsia"/>
          <w:szCs w:val="24"/>
          <w:lang w:eastAsia="zh-CN"/>
        </w:rPr>
        <w:t>进行</w:t>
      </w:r>
      <w:r w:rsidR="007066E4" w:rsidRPr="00A3267D">
        <w:rPr>
          <w:rFonts w:ascii="Times New Roman" w:eastAsia="宋体" w:hAnsi="Times New Roman" w:cs="Times New Roman" w:hint="eastAsia"/>
          <w:spacing w:val="-3"/>
          <w:szCs w:val="24"/>
          <w:lang w:eastAsia="zh-CN"/>
        </w:rPr>
        <w:t>标准计算法</w:t>
      </w:r>
      <w:r w:rsidR="00D97D23" w:rsidRPr="00A3267D">
        <w:rPr>
          <w:rFonts w:asciiTheme="minorEastAsia" w:hAnsiTheme="minorEastAsia" w:cs="Times New Roman" w:hint="eastAsia"/>
          <w:spacing w:val="-5"/>
          <w:szCs w:val="24"/>
          <w:lang w:eastAsia="zh-CN"/>
        </w:rPr>
        <w:t>的</w:t>
      </w:r>
      <w:r w:rsidRPr="00A3267D">
        <w:rPr>
          <w:rFonts w:ascii="宋体" w:eastAsia="宋体" w:hAnsi="宋体" w:cs="Times New Roman" w:hint="eastAsia"/>
          <w:szCs w:val="24"/>
          <w:lang w:eastAsia="zh-CN"/>
        </w:rPr>
        <w:t>不确定度</w:t>
      </w:r>
      <w:r w:rsidR="00A12251" w:rsidRPr="00A3267D">
        <w:rPr>
          <w:rFonts w:ascii="宋体" w:eastAsia="宋体" w:hAnsi="宋体" w:cs="Times New Roman" w:hint="eastAsia"/>
          <w:szCs w:val="24"/>
          <w:lang w:eastAsia="zh-CN"/>
        </w:rPr>
        <w:t>评定</w:t>
      </w:r>
      <w:r w:rsidRPr="00A3267D">
        <w:rPr>
          <w:rFonts w:ascii="宋体" w:eastAsia="宋体" w:hAnsi="宋体" w:cs="Times New Roman" w:hint="eastAsia"/>
          <w:szCs w:val="24"/>
          <w:lang w:eastAsia="zh-CN"/>
        </w:rPr>
        <w:t>。</w:t>
      </w:r>
    </w:p>
    <w:p w14:paraId="66333FF5" w14:textId="2B1C8073" w:rsidR="000C567C" w:rsidRPr="00A3267D" w:rsidRDefault="000C567C"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1</w:t>
      </w:r>
      <w:r w:rsidR="00E84E20" w:rsidRPr="00A3267D">
        <w:rPr>
          <w:rFonts w:ascii="宋体" w:eastAsia="宋体" w:hAnsi="宋体" w:cs="Times New Roman" w:hint="eastAsia"/>
          <w:szCs w:val="24"/>
          <w:lang w:eastAsia="zh-CN"/>
        </w:rPr>
        <w:t>）</w:t>
      </w:r>
      <w:r w:rsidR="00F3721D" w:rsidRPr="00A3267D">
        <w:rPr>
          <w:rFonts w:ascii="宋体" w:eastAsia="宋体" w:hAnsi="宋体" w:cs="Times New Roman" w:hint="eastAsia"/>
          <w:szCs w:val="24"/>
          <w:lang w:eastAsia="zh-CN"/>
        </w:rPr>
        <w:t>化石</w:t>
      </w:r>
      <w:r w:rsidRPr="00A3267D">
        <w:rPr>
          <w:rFonts w:ascii="宋体" w:eastAsia="宋体" w:hAnsi="宋体" w:cs="Times New Roman" w:hint="eastAsia"/>
          <w:szCs w:val="24"/>
          <w:lang w:eastAsia="zh-CN"/>
        </w:rPr>
        <w:t>燃料的消耗量</w:t>
      </w:r>
      <w:r w:rsidR="00F3721D" w:rsidRPr="00A3267D">
        <w:rPr>
          <w:rFonts w:ascii="宋体" w:eastAsia="宋体" w:hAnsi="宋体" w:cs="Times New Roman" w:hint="eastAsia"/>
          <w:szCs w:val="24"/>
          <w:lang w:eastAsia="zh-CN"/>
        </w:rPr>
        <w:t>不确定度评定</w:t>
      </w:r>
    </w:p>
    <w:p w14:paraId="6C6BD1AF" w14:textId="7F789503" w:rsidR="008D3E99" w:rsidRPr="00A3267D" w:rsidRDefault="00F3721D" w:rsidP="002836D7">
      <w:pPr>
        <w:ind w:firstLine="480"/>
        <w:rPr>
          <w:rFonts w:ascii="Times New Roman" w:hAnsi="Times New Roman" w:cs="Times New Roman"/>
          <w:lang w:eastAsia="zh-CN"/>
        </w:rPr>
      </w:pPr>
      <w:r w:rsidRPr="00A3267D">
        <w:rPr>
          <w:rFonts w:ascii="Times New Roman" w:hAnsi="Times New Roman" w:cs="Times New Roman" w:hint="eastAsia"/>
          <w:lang w:eastAsia="zh-CN"/>
        </w:rPr>
        <w:t>依据</w:t>
      </w:r>
      <w:r w:rsidRPr="00A3267D">
        <w:rPr>
          <w:rFonts w:ascii="Times New Roman" w:hAnsi="Times New Roman" w:cs="Times New Roman" w:hint="eastAsia"/>
          <w:spacing w:val="-4"/>
          <w:lang w:eastAsia="zh-CN"/>
        </w:rPr>
        <w:t>《碳排放核算与报告要求</w:t>
      </w:r>
      <w:r w:rsidRPr="00A3267D">
        <w:rPr>
          <w:rFonts w:ascii="Times New Roman" w:hAnsi="Times New Roman" w:cs="Times New Roman"/>
          <w:spacing w:val="-4"/>
          <w:lang w:eastAsia="zh-CN"/>
        </w:rPr>
        <w:t xml:space="preserve"> </w:t>
      </w:r>
      <w:r w:rsidRPr="00A3267D">
        <w:rPr>
          <w:rFonts w:ascii="Times New Roman" w:hAnsi="Times New Roman" w:cs="Times New Roman" w:hint="eastAsia"/>
          <w:spacing w:val="-4"/>
          <w:lang w:eastAsia="zh-CN"/>
        </w:rPr>
        <w:t>第</w:t>
      </w:r>
      <w:r w:rsidRPr="00A3267D">
        <w:rPr>
          <w:rFonts w:ascii="Times New Roman" w:hAnsi="Times New Roman" w:cs="Times New Roman"/>
          <w:spacing w:val="-4"/>
          <w:lang w:eastAsia="zh-CN"/>
        </w:rPr>
        <w:t>8</w:t>
      </w:r>
      <w:r w:rsidRPr="00A3267D">
        <w:rPr>
          <w:rFonts w:ascii="Times New Roman" w:hAnsi="Times New Roman" w:cs="Times New Roman" w:hint="eastAsia"/>
          <w:spacing w:val="-4"/>
          <w:lang w:eastAsia="zh-CN"/>
        </w:rPr>
        <w:t>部分：水泥生产企业》（</w:t>
      </w:r>
      <w:r w:rsidRPr="00A3267D">
        <w:rPr>
          <w:rFonts w:ascii="Times New Roman" w:hAnsi="Times New Roman" w:cs="Times New Roman"/>
          <w:spacing w:val="-4"/>
          <w:lang w:eastAsia="zh-CN"/>
        </w:rPr>
        <w:t>GB/T 32151.8-2023</w:t>
      </w:r>
      <w:r w:rsidRPr="00A3267D">
        <w:rPr>
          <w:rFonts w:ascii="Times New Roman" w:hAnsi="Times New Roman" w:cs="Times New Roman" w:hint="eastAsia"/>
          <w:spacing w:val="-4"/>
          <w:lang w:eastAsia="zh-CN"/>
        </w:rPr>
        <w:t>）</w:t>
      </w:r>
      <w:r w:rsidR="000C567C" w:rsidRPr="00A3267D">
        <w:rPr>
          <w:rFonts w:ascii="Times New Roman" w:hAnsi="Times New Roman" w:cs="Times New Roman" w:hint="eastAsia"/>
          <w:lang w:eastAsia="zh-CN"/>
        </w:rPr>
        <w:t>，化石燃料消耗量根据地磅、皮带秤、液体流量计、气体流量计等计量器具获得，</w:t>
      </w:r>
      <w:r w:rsidR="008D3E99" w:rsidRPr="00A3267D">
        <w:rPr>
          <w:rFonts w:ascii="Times New Roman" w:hAnsi="Times New Roman" w:cs="Times New Roman" w:hint="eastAsia"/>
          <w:lang w:eastAsia="zh-CN"/>
        </w:rPr>
        <w:t>示例工厂燃料主要使用的是烟煤，少量柴油暂不考虑</w:t>
      </w:r>
      <w:r w:rsidR="00BD441E" w:rsidRPr="00A3267D">
        <w:rPr>
          <w:rFonts w:ascii="Times New Roman" w:hAnsi="Times New Roman" w:cs="Times New Roman" w:hint="eastAsia"/>
          <w:lang w:eastAsia="zh-CN"/>
        </w:rPr>
        <w:t>（</w:t>
      </w:r>
      <w:r w:rsidR="00BD441E" w:rsidRPr="00A3267D">
        <w:rPr>
          <w:rFonts w:ascii="Times New Roman" w:hAnsi="Times New Roman" w:cs="Times New Roman" w:hint="eastAsia"/>
          <w:lang w:eastAsia="zh-CN"/>
        </w:rPr>
        <w:t>&lt;</w:t>
      </w:r>
      <w:r w:rsidR="00BD441E" w:rsidRPr="00A3267D">
        <w:rPr>
          <w:rFonts w:ascii="Times New Roman" w:hAnsi="Times New Roman" w:cs="Times New Roman"/>
          <w:lang w:eastAsia="zh-CN"/>
        </w:rPr>
        <w:t>0.1%</w:t>
      </w:r>
      <w:r w:rsidR="00BD441E" w:rsidRPr="00A3267D">
        <w:rPr>
          <w:rFonts w:ascii="Times New Roman" w:hAnsi="Times New Roman" w:cs="Times New Roman" w:hint="eastAsia"/>
          <w:lang w:eastAsia="zh-CN"/>
        </w:rPr>
        <w:t>）</w:t>
      </w:r>
      <w:r w:rsidR="008D3E99" w:rsidRPr="00A3267D">
        <w:rPr>
          <w:rFonts w:ascii="Times New Roman" w:hAnsi="Times New Roman" w:cs="Times New Roman" w:hint="eastAsia"/>
          <w:lang w:eastAsia="zh-CN"/>
        </w:rPr>
        <w:t>，</w:t>
      </w:r>
      <w:r w:rsidR="00325405" w:rsidRPr="00A3267D">
        <w:rPr>
          <w:rFonts w:ascii="Times New Roman" w:hAnsi="Times New Roman" w:cs="Times New Roman" w:hint="eastAsia"/>
          <w:lang w:eastAsia="zh-CN"/>
        </w:rPr>
        <w:t>烟</w:t>
      </w:r>
      <w:r w:rsidR="000C567C" w:rsidRPr="00A3267D">
        <w:rPr>
          <w:rFonts w:ascii="Times New Roman" w:hAnsi="Times New Roman" w:cs="Times New Roman" w:hint="eastAsia"/>
          <w:lang w:eastAsia="zh-CN"/>
        </w:rPr>
        <w:t>煤消耗量采用每批次进厂</w:t>
      </w:r>
      <w:r w:rsidR="00325405" w:rsidRPr="00A3267D">
        <w:rPr>
          <w:rFonts w:ascii="Times New Roman" w:hAnsi="Times New Roman" w:cs="Times New Roman" w:hint="eastAsia"/>
          <w:lang w:eastAsia="zh-CN"/>
        </w:rPr>
        <w:t>烟</w:t>
      </w:r>
      <w:r w:rsidR="000C567C" w:rsidRPr="00A3267D">
        <w:rPr>
          <w:rFonts w:ascii="Times New Roman" w:hAnsi="Times New Roman" w:cs="Times New Roman" w:hint="eastAsia"/>
          <w:lang w:eastAsia="zh-CN"/>
        </w:rPr>
        <w:t>煤计量数据</w:t>
      </w:r>
      <w:r w:rsidR="00325405" w:rsidRPr="00A3267D">
        <w:rPr>
          <w:rFonts w:ascii="Times New Roman" w:hAnsi="Times New Roman" w:cs="Times New Roman" w:hint="eastAsia"/>
          <w:lang w:eastAsia="zh-CN"/>
        </w:rPr>
        <w:t>得到</w:t>
      </w:r>
      <w:r w:rsidR="000C567C" w:rsidRPr="00A3267D">
        <w:rPr>
          <w:rFonts w:ascii="Times New Roman" w:hAnsi="Times New Roman" w:cs="Times New Roman" w:hint="eastAsia"/>
          <w:lang w:eastAsia="zh-CN"/>
        </w:rPr>
        <w:t>。</w:t>
      </w:r>
      <w:r w:rsidR="008D3E99" w:rsidRPr="00A3267D">
        <w:rPr>
          <w:rFonts w:ascii="Times New Roman" w:hAnsi="Times New Roman" w:cs="Times New Roman"/>
          <w:lang w:eastAsia="zh-CN"/>
        </w:rPr>
        <w:t>2024</w:t>
      </w:r>
      <w:r w:rsidR="000C567C" w:rsidRPr="00A3267D">
        <w:rPr>
          <w:rFonts w:ascii="Times New Roman" w:hAnsi="Times New Roman" w:cs="Times New Roman" w:hint="eastAsia"/>
          <w:lang w:eastAsia="zh-CN"/>
        </w:rPr>
        <w:t>年</w:t>
      </w:r>
      <w:r w:rsidR="008D3E99" w:rsidRPr="00A3267D">
        <w:rPr>
          <w:rFonts w:ascii="Times New Roman" w:hAnsi="Times New Roman" w:cs="Times New Roman" w:hint="eastAsia"/>
          <w:lang w:eastAsia="zh-CN"/>
        </w:rPr>
        <w:t>烟</w:t>
      </w:r>
      <w:r w:rsidR="000C567C" w:rsidRPr="00A3267D">
        <w:rPr>
          <w:rFonts w:ascii="Times New Roman" w:hAnsi="Times New Roman" w:cs="Times New Roman" w:hint="eastAsia"/>
          <w:lang w:eastAsia="zh-CN"/>
        </w:rPr>
        <w:t>煤的运输方式有船运和汽车运输两种。</w:t>
      </w:r>
    </w:p>
    <w:p w14:paraId="683FE563" w14:textId="7862C0B3" w:rsidR="000C567C" w:rsidRPr="00A3267D" w:rsidRDefault="00F50C9E" w:rsidP="00743F6A">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船煤运输到厂内的计量器具为一台阵列式皮称，根据其最大允差和烟煤消耗量可知阵列式皮带称标准不确定度为-</w:t>
      </w:r>
      <w:r w:rsidR="00A84527" w:rsidRPr="00A3267D">
        <w:rPr>
          <w:rFonts w:ascii="宋体" w:eastAsia="宋体" w:hAnsi="宋体" w:cs="Times New Roman" w:hint="eastAsia"/>
          <w:szCs w:val="24"/>
          <w:lang w:eastAsia="zh-CN"/>
        </w:rPr>
        <w:t>100.05</w:t>
      </w:r>
      <w:r w:rsidRPr="00A3267D">
        <w:rPr>
          <w:rFonts w:ascii="宋体" w:eastAsia="宋体" w:hAnsi="宋体" w:cs="Times New Roman" w:hint="eastAsia"/>
          <w:szCs w:val="24"/>
          <w:lang w:eastAsia="zh-CN"/>
        </w:rPr>
        <w:t>t；汽车运输</w:t>
      </w:r>
      <w:r w:rsidR="00B77D1D" w:rsidRPr="00A3267D">
        <w:rPr>
          <w:rFonts w:ascii="宋体" w:eastAsia="宋体" w:hAnsi="宋体" w:cs="Times New Roman" w:hint="eastAsia"/>
          <w:szCs w:val="24"/>
          <w:lang w:eastAsia="zh-CN"/>
        </w:rPr>
        <w:t>煤</w:t>
      </w:r>
      <w:r w:rsidR="00A35E50" w:rsidRPr="00A3267D">
        <w:rPr>
          <w:rFonts w:ascii="宋体" w:eastAsia="宋体" w:hAnsi="宋体" w:cs="Times New Roman" w:hint="eastAsia"/>
          <w:szCs w:val="24"/>
          <w:lang w:eastAsia="zh-CN"/>
        </w:rPr>
        <w:t>使用的是</w:t>
      </w:r>
      <w:r w:rsidR="00B77D1D" w:rsidRPr="00A3267D">
        <w:rPr>
          <w:rFonts w:ascii="宋体" w:eastAsia="宋体" w:hAnsi="宋体" w:cs="Times New Roman" w:hint="eastAsia"/>
          <w:szCs w:val="24"/>
          <w:lang w:eastAsia="zh-CN"/>
        </w:rPr>
        <w:t>工厂</w:t>
      </w:r>
      <w:r w:rsidR="001F2D2C" w:rsidRPr="00A3267D">
        <w:rPr>
          <w:rFonts w:ascii="宋体" w:eastAsia="宋体" w:hAnsi="宋体" w:cs="Times New Roman" w:hint="eastAsia"/>
          <w:szCs w:val="24"/>
          <w:lang w:eastAsia="zh-CN"/>
        </w:rPr>
        <w:t>一</w:t>
      </w:r>
      <w:r w:rsidR="00B77D1D" w:rsidRPr="00A3267D">
        <w:rPr>
          <w:rFonts w:ascii="宋体" w:eastAsia="宋体" w:hAnsi="宋体" w:cs="Times New Roman" w:hint="eastAsia"/>
          <w:szCs w:val="24"/>
          <w:lang w:eastAsia="zh-CN"/>
        </w:rPr>
        <w:t>台汽车衡</w:t>
      </w:r>
      <w:r w:rsidR="00A35E50" w:rsidRPr="00A3267D">
        <w:rPr>
          <w:rFonts w:ascii="宋体" w:eastAsia="宋体" w:hAnsi="宋体" w:cs="Times New Roman" w:hint="eastAsia"/>
          <w:szCs w:val="24"/>
          <w:lang w:eastAsia="zh-CN"/>
        </w:rPr>
        <w:t>进行重量</w:t>
      </w:r>
      <w:r w:rsidR="00B77D1D" w:rsidRPr="00A3267D">
        <w:rPr>
          <w:rFonts w:ascii="宋体" w:eastAsia="宋体" w:hAnsi="宋体" w:cs="Times New Roman" w:hint="eastAsia"/>
          <w:szCs w:val="24"/>
          <w:lang w:eastAsia="zh-CN"/>
        </w:rPr>
        <w:t>称量，根据汽车衡2024年的检定报告</w:t>
      </w:r>
      <w:r w:rsidRPr="00A3267D">
        <w:rPr>
          <w:rFonts w:ascii="宋体" w:eastAsia="宋体" w:hAnsi="宋体" w:cs="Times New Roman" w:hint="eastAsia"/>
          <w:szCs w:val="24"/>
          <w:lang w:eastAsia="zh-CN"/>
        </w:rPr>
        <w:t>中最大相对误差和烟煤消耗量</w:t>
      </w:r>
      <w:r w:rsidR="00B77D1D" w:rsidRPr="00A3267D">
        <w:rPr>
          <w:rFonts w:ascii="宋体" w:eastAsia="宋体" w:hAnsi="宋体" w:cs="Times New Roman" w:hint="eastAsia"/>
          <w:szCs w:val="24"/>
          <w:lang w:eastAsia="zh-CN"/>
        </w:rPr>
        <w:t>可知</w:t>
      </w:r>
      <w:r w:rsidR="008B0B2C" w:rsidRPr="00A3267D">
        <w:rPr>
          <w:rFonts w:ascii="宋体" w:eastAsia="宋体" w:hAnsi="宋体" w:cs="Times New Roman" w:hint="eastAsia"/>
          <w:szCs w:val="24"/>
          <w:lang w:eastAsia="zh-CN"/>
        </w:rPr>
        <w:t>汽车衡的</w:t>
      </w:r>
      <w:r w:rsidR="00B77D1D" w:rsidRPr="00A3267D">
        <w:rPr>
          <w:rFonts w:ascii="宋体" w:eastAsia="宋体" w:hAnsi="宋体" w:cs="Times New Roman" w:hint="eastAsia"/>
          <w:szCs w:val="24"/>
          <w:lang w:eastAsia="zh-CN"/>
        </w:rPr>
        <w:t>相对标准不确定度</w:t>
      </w:r>
      <w:r w:rsidRPr="00A3267D">
        <w:rPr>
          <w:rFonts w:ascii="宋体" w:eastAsia="宋体" w:hAnsi="宋体" w:cs="Times New Roman" w:hint="eastAsia"/>
          <w:szCs w:val="24"/>
          <w:lang w:eastAsia="zh-CN"/>
        </w:rPr>
        <w:t>值为</w:t>
      </w:r>
      <w:r w:rsidR="001F2D2C" w:rsidRPr="00A3267D">
        <w:rPr>
          <w:rFonts w:ascii="宋体" w:eastAsia="宋体" w:hAnsi="宋体" w:cs="Times New Roman" w:hint="eastAsia"/>
          <w:szCs w:val="24"/>
          <w:lang w:eastAsia="zh-CN"/>
        </w:rPr>
        <w:t>107.2</w:t>
      </w:r>
      <w:r w:rsidR="00B77D1D" w:rsidRPr="00A3267D">
        <w:rPr>
          <w:rFonts w:ascii="宋体" w:eastAsia="宋体" w:hAnsi="宋体" w:cs="Times New Roman" w:hint="eastAsia"/>
          <w:szCs w:val="24"/>
          <w:lang w:eastAsia="zh-CN"/>
        </w:rPr>
        <w:t>。化石燃料消耗量根据</w:t>
      </w:r>
      <w:r w:rsidR="007713D1" w:rsidRPr="00A3267D">
        <w:rPr>
          <w:rFonts w:ascii="宋体" w:eastAsia="宋体" w:hAnsi="宋体" w:cs="Times New Roman" w:hint="eastAsia"/>
          <w:szCs w:val="24"/>
          <w:lang w:eastAsia="zh-CN"/>
        </w:rPr>
        <w:t>两</w:t>
      </w:r>
      <w:r w:rsidR="00B77D1D" w:rsidRPr="00A3267D">
        <w:rPr>
          <w:rFonts w:ascii="宋体" w:eastAsia="宋体" w:hAnsi="宋体" w:cs="Times New Roman" w:hint="eastAsia"/>
          <w:szCs w:val="24"/>
          <w:lang w:eastAsia="zh-CN"/>
        </w:rPr>
        <w:t>台计量器具计量加和得到，</w:t>
      </w:r>
      <w:r w:rsidR="00564E17" w:rsidRPr="00A3267D">
        <w:rPr>
          <w:rFonts w:ascii="宋体" w:eastAsia="宋体" w:hAnsi="宋体" w:cs="Times New Roman" w:hint="eastAsia"/>
          <w:szCs w:val="24"/>
          <w:lang w:eastAsia="zh-CN"/>
        </w:rPr>
        <w:t>计量烟煤消耗量的</w:t>
      </w:r>
      <w:r w:rsidR="00E91C67" w:rsidRPr="00A3267D">
        <w:rPr>
          <w:rFonts w:ascii="宋体" w:eastAsia="宋体" w:hAnsi="宋体" w:cs="Times New Roman" w:hint="eastAsia"/>
          <w:szCs w:val="24"/>
          <w:lang w:eastAsia="zh-CN"/>
        </w:rPr>
        <w:t>两</w:t>
      </w:r>
      <w:r w:rsidR="00564E17" w:rsidRPr="00A3267D">
        <w:rPr>
          <w:rFonts w:ascii="宋体" w:eastAsia="宋体" w:hAnsi="宋体" w:cs="Times New Roman" w:hint="eastAsia"/>
          <w:szCs w:val="24"/>
          <w:lang w:eastAsia="zh-CN"/>
        </w:rPr>
        <w:t>台设备</w:t>
      </w:r>
      <w:r w:rsidR="00B77D1D" w:rsidRPr="00A3267D">
        <w:rPr>
          <w:rFonts w:ascii="宋体" w:eastAsia="宋体" w:hAnsi="宋体" w:cs="Times New Roman" w:hint="eastAsia"/>
          <w:szCs w:val="24"/>
          <w:lang w:eastAsia="zh-CN"/>
        </w:rPr>
        <w:t>不确定度灵敏度系数都为1，得到</w:t>
      </w:r>
      <w:r w:rsidR="001D519E" w:rsidRPr="00A3267D">
        <w:rPr>
          <w:rFonts w:ascii="宋体" w:eastAsia="宋体" w:hAnsi="宋体" w:cs="Times New Roman" w:hint="eastAsia"/>
          <w:szCs w:val="24"/>
          <w:lang w:eastAsia="zh-CN"/>
        </w:rPr>
        <w:t>化石燃料消耗量</w:t>
      </w:r>
      <w:r w:rsidR="00B77D1D" w:rsidRPr="00A3267D">
        <w:rPr>
          <w:rFonts w:ascii="宋体" w:eastAsia="宋体" w:hAnsi="宋体" w:cs="Times New Roman" w:hint="eastAsia"/>
          <w:szCs w:val="24"/>
          <w:lang w:eastAsia="zh-CN"/>
        </w:rPr>
        <w:t>合成</w:t>
      </w:r>
      <w:r w:rsidR="001D519E" w:rsidRPr="00A3267D">
        <w:rPr>
          <w:rFonts w:ascii="宋体" w:eastAsia="宋体" w:hAnsi="宋体" w:cs="Times New Roman" w:hint="eastAsia"/>
          <w:szCs w:val="24"/>
          <w:lang w:eastAsia="zh-CN"/>
        </w:rPr>
        <w:t>标准</w:t>
      </w:r>
      <w:r w:rsidR="00B77D1D" w:rsidRPr="00A3267D">
        <w:rPr>
          <w:rFonts w:ascii="宋体" w:eastAsia="宋体" w:hAnsi="宋体" w:cs="Times New Roman" w:hint="eastAsia"/>
          <w:szCs w:val="24"/>
          <w:lang w:eastAsia="zh-CN"/>
        </w:rPr>
        <w:t>不确定度为</w:t>
      </w:r>
      <w:r w:rsidR="00E91C67" w:rsidRPr="00A3267D">
        <w:rPr>
          <w:rFonts w:ascii="宋体" w:eastAsia="宋体" w:hAnsi="宋体" w:cs="Times New Roman" w:hint="eastAsia"/>
          <w:szCs w:val="24"/>
          <w:lang w:eastAsia="zh-CN"/>
        </w:rPr>
        <w:t>146.63</w:t>
      </w:r>
      <w:r w:rsidR="001D519E" w:rsidRPr="00A3267D">
        <w:rPr>
          <w:rFonts w:ascii="宋体" w:eastAsia="宋体" w:hAnsi="宋体" w:cs="Times New Roman" w:hint="eastAsia"/>
          <w:szCs w:val="24"/>
          <w:lang w:eastAsia="zh-CN"/>
        </w:rPr>
        <w:t>t</w:t>
      </w:r>
      <w:r w:rsidR="00B77D1D" w:rsidRPr="00A3267D">
        <w:rPr>
          <w:rFonts w:ascii="宋体" w:eastAsia="宋体" w:hAnsi="宋体" w:cs="Times New Roman" w:hint="eastAsia"/>
          <w:szCs w:val="24"/>
          <w:lang w:eastAsia="zh-CN"/>
        </w:rPr>
        <w:t>。</w:t>
      </w:r>
    </w:p>
    <w:p w14:paraId="764FEEAA" w14:textId="4FF9A11B" w:rsidR="000C567C" w:rsidRPr="00A3267D" w:rsidRDefault="000C567C"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2</w:t>
      </w:r>
      <w:r w:rsidR="00E84E20"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低位发热量</w:t>
      </w:r>
      <w:r w:rsidR="00F3721D" w:rsidRPr="00A3267D">
        <w:rPr>
          <w:rFonts w:ascii="宋体" w:eastAsia="宋体" w:hAnsi="宋体" w:cs="Times New Roman" w:hint="eastAsia"/>
          <w:szCs w:val="24"/>
          <w:lang w:eastAsia="zh-CN"/>
        </w:rPr>
        <w:t>的不确定度评定</w:t>
      </w:r>
    </w:p>
    <w:p w14:paraId="7383D894" w14:textId="459D060C" w:rsidR="000C567C" w:rsidRPr="00A3267D" w:rsidRDefault="000C567C"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化石燃料的低位发热量采用氧弹仪进行测量，依据工厂2024年标准样校准记录，可得A类标准不确定度为</w:t>
      </w:r>
      <w:r w:rsidR="0011485D" w:rsidRPr="00A3267D">
        <w:rPr>
          <w:rFonts w:ascii="宋体" w:eastAsia="宋体" w:hAnsi="宋体" w:cs="Times New Roman" w:hint="eastAsia"/>
          <w:szCs w:val="24"/>
          <w:lang w:eastAsia="zh-CN"/>
        </w:rPr>
        <w:t>2.00</w:t>
      </w:r>
      <w:r w:rsidR="00A83589" w:rsidRPr="00A3267D">
        <w:rPr>
          <w:rFonts w:ascii="宋体" w:eastAsia="宋体" w:hAnsi="宋体" w:cs="Times New Roman" w:hint="eastAsia"/>
          <w:szCs w:val="24"/>
          <w:lang w:eastAsia="zh-CN"/>
        </w:rPr>
        <w:t>1</w:t>
      </w:r>
      <w:r w:rsidR="0011485D" w:rsidRPr="00A3267D">
        <w:rPr>
          <w:rFonts w:ascii="宋体" w:eastAsia="宋体" w:hAnsi="宋体" w:cs="Times New Roman" w:hint="eastAsia"/>
          <w:szCs w:val="24"/>
          <w:lang w:eastAsia="zh-CN"/>
        </w:rPr>
        <w:t xml:space="preserve"> GJ/t</w:t>
      </w:r>
      <w:r w:rsidRPr="00A3267D">
        <w:rPr>
          <w:rFonts w:ascii="宋体" w:eastAsia="宋体" w:hAnsi="宋体" w:cs="Times New Roman" w:hint="eastAsia"/>
          <w:szCs w:val="24"/>
          <w:lang w:eastAsia="zh-CN"/>
        </w:rPr>
        <w:t>，B类标准不确定度为</w:t>
      </w:r>
      <w:r w:rsidR="00CD4147" w:rsidRPr="00A3267D">
        <w:rPr>
          <w:rFonts w:ascii="宋体" w:eastAsia="宋体" w:hAnsi="宋体" w:cs="Times New Roman" w:hint="eastAsia"/>
          <w:szCs w:val="24"/>
          <w:lang w:eastAsia="zh-CN"/>
        </w:rPr>
        <w:t>0.0</w:t>
      </w:r>
      <w:r w:rsidR="00D71A14" w:rsidRPr="00A3267D">
        <w:rPr>
          <w:rFonts w:ascii="宋体" w:eastAsia="宋体" w:hAnsi="宋体" w:cs="Times New Roman" w:hint="eastAsia"/>
          <w:szCs w:val="24"/>
          <w:lang w:eastAsia="zh-CN"/>
        </w:rPr>
        <w:t>4</w:t>
      </w:r>
      <w:r w:rsidR="00CD4147" w:rsidRPr="00A3267D">
        <w:rPr>
          <w:rFonts w:ascii="宋体" w:eastAsia="宋体" w:hAnsi="宋体" w:cs="Times New Roman" w:hint="eastAsia"/>
          <w:szCs w:val="24"/>
          <w:lang w:eastAsia="zh-CN"/>
        </w:rPr>
        <w:t>5</w:t>
      </w:r>
      <w:r w:rsidR="00D71A14" w:rsidRPr="00A3267D">
        <w:rPr>
          <w:rFonts w:ascii="宋体" w:eastAsia="宋体" w:hAnsi="宋体" w:cs="Times New Roman" w:hint="eastAsia"/>
          <w:szCs w:val="24"/>
          <w:lang w:eastAsia="zh-CN"/>
        </w:rPr>
        <w:t>2</w:t>
      </w:r>
      <w:r w:rsidR="00CD4147" w:rsidRPr="00A3267D">
        <w:rPr>
          <w:rFonts w:ascii="宋体" w:eastAsia="宋体" w:hAnsi="宋体" w:cs="Times New Roman" w:hint="eastAsia"/>
          <w:szCs w:val="24"/>
          <w:lang w:eastAsia="zh-CN"/>
        </w:rPr>
        <w:t xml:space="preserve"> GJ/t</w:t>
      </w:r>
      <w:r w:rsidRPr="00A3267D">
        <w:rPr>
          <w:rFonts w:ascii="宋体" w:eastAsia="宋体" w:hAnsi="宋体" w:cs="Times New Roman" w:hint="eastAsia"/>
          <w:szCs w:val="24"/>
          <w:lang w:eastAsia="zh-CN"/>
        </w:rPr>
        <w:t>，合成标准不确定度为</w:t>
      </w:r>
      <w:r w:rsidR="0061325F" w:rsidRPr="00A3267D">
        <w:rPr>
          <w:rFonts w:ascii="宋体" w:eastAsia="宋体" w:hAnsi="宋体" w:cs="Times New Roman" w:hint="eastAsia"/>
          <w:szCs w:val="24"/>
          <w:lang w:eastAsia="zh-CN"/>
        </w:rPr>
        <w:t>2.002</w:t>
      </w:r>
      <w:r w:rsidRPr="00A3267D">
        <w:rPr>
          <w:rFonts w:ascii="宋体" w:eastAsia="宋体" w:hAnsi="宋体" w:cs="Times New Roman" w:hint="eastAsia"/>
          <w:szCs w:val="24"/>
          <w:lang w:eastAsia="zh-CN"/>
        </w:rPr>
        <w:t xml:space="preserve"> </w:t>
      </w:r>
      <w:r w:rsidR="0061325F" w:rsidRPr="00A3267D">
        <w:rPr>
          <w:rFonts w:ascii="宋体" w:eastAsia="宋体" w:hAnsi="宋体" w:cs="Times New Roman" w:hint="eastAsia"/>
          <w:szCs w:val="24"/>
          <w:lang w:eastAsia="zh-CN"/>
        </w:rPr>
        <w:t>GJ/t</w:t>
      </w:r>
      <w:r w:rsidRPr="00A3267D">
        <w:rPr>
          <w:rFonts w:ascii="宋体" w:eastAsia="宋体" w:hAnsi="宋体" w:cs="Times New Roman" w:hint="eastAsia"/>
          <w:szCs w:val="24"/>
          <w:lang w:eastAsia="zh-CN"/>
        </w:rPr>
        <w:t>，相对合成标准不确定度为</w:t>
      </w:r>
      <w:r w:rsidR="000F1665" w:rsidRPr="00A3267D">
        <w:rPr>
          <w:rFonts w:ascii="宋体" w:eastAsia="宋体" w:hAnsi="宋体" w:cs="Times New Roman" w:hint="eastAsia"/>
          <w:szCs w:val="24"/>
          <w:lang w:eastAsia="zh-CN"/>
        </w:rPr>
        <w:t>7.07</w:t>
      </w:r>
      <w:r w:rsidRPr="00A3267D">
        <w:rPr>
          <w:rFonts w:ascii="宋体" w:eastAsia="宋体" w:hAnsi="宋体" w:cs="Times New Roman" w:hint="eastAsia"/>
          <w:szCs w:val="24"/>
          <w:lang w:eastAsia="zh-CN"/>
        </w:rPr>
        <w:t>%。根据2024年的全年加权低位发热量为22.</w:t>
      </w:r>
      <w:r w:rsidR="000F1665" w:rsidRPr="00A3267D">
        <w:rPr>
          <w:rFonts w:ascii="宋体" w:eastAsia="宋体" w:hAnsi="宋体" w:cs="Times New Roman" w:hint="eastAsia"/>
          <w:szCs w:val="24"/>
          <w:lang w:eastAsia="zh-CN"/>
        </w:rPr>
        <w:t>399</w:t>
      </w:r>
      <w:r w:rsidRPr="00A3267D">
        <w:rPr>
          <w:rFonts w:ascii="宋体" w:eastAsia="宋体" w:hAnsi="宋体" w:cs="Times New Roman" w:hint="eastAsia"/>
          <w:szCs w:val="24"/>
          <w:lang w:eastAsia="zh-CN"/>
        </w:rPr>
        <w:t>JG/t，得到2024年低位发热量的标准不确定度为1.</w:t>
      </w:r>
      <w:r w:rsidR="000F1665" w:rsidRPr="00A3267D">
        <w:rPr>
          <w:rFonts w:ascii="宋体" w:eastAsia="宋体" w:hAnsi="宋体" w:cs="Times New Roman" w:hint="eastAsia"/>
          <w:szCs w:val="24"/>
          <w:lang w:eastAsia="zh-CN"/>
        </w:rPr>
        <w:t>583</w:t>
      </w:r>
      <w:r w:rsidRPr="00A3267D">
        <w:rPr>
          <w:rFonts w:ascii="宋体" w:eastAsia="宋体" w:hAnsi="宋体" w:cs="Times New Roman" w:hint="eastAsia"/>
          <w:szCs w:val="24"/>
          <w:lang w:eastAsia="zh-CN"/>
        </w:rPr>
        <w:t xml:space="preserve"> GJ/t。</w:t>
      </w:r>
    </w:p>
    <w:p w14:paraId="69045071" w14:textId="36A65CCE" w:rsidR="00BF2EFD"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3）化石燃料低位热值含碳量</w:t>
      </w:r>
      <w:r w:rsidR="00DD2619" w:rsidRPr="00A3267D">
        <w:rPr>
          <w:rFonts w:ascii="宋体" w:eastAsia="宋体" w:hAnsi="宋体" w:cs="Times New Roman" w:hint="eastAsia"/>
          <w:szCs w:val="24"/>
          <w:lang w:eastAsia="zh-CN"/>
        </w:rPr>
        <w:t>的不确定评定</w:t>
      </w:r>
    </w:p>
    <w:p w14:paraId="73DFA5E5" w14:textId="3A27DE48" w:rsidR="00DD48C5" w:rsidRPr="00A3267D" w:rsidRDefault="007F22F1" w:rsidP="000C567C">
      <w:pPr>
        <w:ind w:firstLine="480"/>
        <w:jc w:val="both"/>
        <w:rPr>
          <w:rFonts w:asciiTheme="minorEastAsia" w:hAnsiTheme="minorEastAsia" w:cs="Times New Roman"/>
          <w:szCs w:val="24"/>
          <w:lang w:eastAsia="zh-CN"/>
        </w:rPr>
      </w:pPr>
      <w:r w:rsidRPr="00A3267D">
        <w:rPr>
          <w:rFonts w:ascii="宋体" w:eastAsia="宋体" w:hAnsi="宋体" w:cs="Times New Roman" w:hint="eastAsia"/>
          <w:szCs w:val="24"/>
          <w:lang w:eastAsia="zh-CN"/>
        </w:rPr>
        <w:t>水泥行业目前化石燃料低位热值含碳量</w:t>
      </w:r>
      <w:r w:rsidR="004F53F9" w:rsidRPr="00A3267D">
        <w:rPr>
          <w:rFonts w:ascii="宋体" w:eastAsia="宋体" w:hAnsi="宋体" w:cs="Times New Roman" w:hint="eastAsia"/>
          <w:szCs w:val="24"/>
          <w:lang w:eastAsia="zh-CN"/>
        </w:rPr>
        <w:t>一般采用默认值进行核算，</w:t>
      </w:r>
      <w:r w:rsidR="008606B9" w:rsidRPr="00A3267D">
        <w:rPr>
          <w:rFonts w:ascii="宋体" w:eastAsia="宋体" w:hAnsi="宋体" w:cs="Times New Roman" w:hint="eastAsia"/>
          <w:szCs w:val="24"/>
          <w:lang w:eastAsia="zh-CN"/>
        </w:rPr>
        <w:t>采用专家意见估算默认值</w:t>
      </w:r>
      <w:r w:rsidR="004F53F9" w:rsidRPr="00A3267D">
        <w:rPr>
          <w:rFonts w:ascii="宋体" w:eastAsia="宋体" w:hAnsi="宋体" w:cs="Times New Roman" w:hint="eastAsia"/>
          <w:szCs w:val="24"/>
          <w:lang w:eastAsia="zh-CN"/>
        </w:rPr>
        <w:t>不确定度</w:t>
      </w:r>
      <w:r w:rsidR="008606B9" w:rsidRPr="00A3267D">
        <w:rPr>
          <w:rFonts w:ascii="宋体" w:eastAsia="宋体" w:hAnsi="宋体" w:cs="Times New Roman" w:hint="eastAsia"/>
          <w:szCs w:val="24"/>
          <w:lang w:eastAsia="zh-CN"/>
        </w:rPr>
        <w:t>取</w:t>
      </w:r>
      <w:r w:rsidR="008C363A" w:rsidRPr="00A3267D">
        <w:rPr>
          <w:rFonts w:ascii="宋体" w:eastAsia="宋体" w:hAnsi="宋体" w:cs="Times New Roman" w:hint="eastAsia"/>
          <w:szCs w:val="24"/>
          <w:lang w:eastAsia="zh-CN"/>
        </w:rPr>
        <w:t>默认值的</w:t>
      </w:r>
      <w:r w:rsidRPr="00A3267D">
        <w:rPr>
          <w:rFonts w:ascii="宋体" w:eastAsia="宋体" w:hAnsi="宋体" w:cs="Times New Roman" w:hint="eastAsia"/>
          <w:szCs w:val="24"/>
          <w:lang w:eastAsia="zh-CN"/>
        </w:rPr>
        <w:t>5%</w:t>
      </w:r>
      <w:r w:rsidR="00A90310" w:rsidRPr="00A3267D">
        <w:rPr>
          <w:rFonts w:asciiTheme="minorEastAsia" w:hAnsiTheme="minorEastAsia" w:cs="Times New Roman" w:hint="eastAsia"/>
          <w:szCs w:val="24"/>
          <w:lang w:eastAsia="zh-CN"/>
        </w:rPr>
        <w:t>，</w:t>
      </w:r>
      <w:r w:rsidR="006C3B38" w:rsidRPr="00A3267D">
        <w:rPr>
          <w:rFonts w:asciiTheme="minorEastAsia" w:hAnsiTheme="minorEastAsia" w:cs="Times New Roman" w:hint="eastAsia"/>
          <w:szCs w:val="24"/>
          <w:lang w:eastAsia="zh-CN"/>
        </w:rPr>
        <w:t>包含保守性考量，</w:t>
      </w:r>
      <w:r w:rsidR="008C363A" w:rsidRPr="00A3267D">
        <w:rPr>
          <w:rFonts w:asciiTheme="minorEastAsia" w:hAnsiTheme="minorEastAsia" w:cs="Times New Roman" w:hint="eastAsia"/>
          <w:szCs w:val="24"/>
          <w:lang w:eastAsia="zh-CN"/>
        </w:rPr>
        <w:t>默认值带来的不确定度分量</w:t>
      </w:r>
      <w:r w:rsidR="00A90310" w:rsidRPr="00A3267D">
        <w:rPr>
          <w:rFonts w:asciiTheme="minorEastAsia" w:hAnsiTheme="minorEastAsia" w:cs="Times New Roman"/>
          <w:szCs w:val="24"/>
          <w:lang w:eastAsia="zh-CN"/>
        </w:rPr>
        <w:t>为0.0013</w:t>
      </w:r>
      <w:r w:rsidR="00A90310" w:rsidRPr="00A3267D">
        <w:rPr>
          <w:rFonts w:asciiTheme="minorEastAsia" w:hAnsiTheme="minorEastAsia" w:cs="Times New Roman"/>
          <w:lang w:eastAsia="zh-CN"/>
        </w:rPr>
        <w:t xml:space="preserve"> </w:t>
      </w:r>
      <w:r w:rsidR="00A90310" w:rsidRPr="00A3267D">
        <w:rPr>
          <w:rFonts w:asciiTheme="minorEastAsia" w:hAnsiTheme="minorEastAsia" w:cs="Times New Roman"/>
          <w:szCs w:val="24"/>
          <w:lang w:eastAsia="zh-CN"/>
        </w:rPr>
        <w:t>tC/GJ</w:t>
      </w:r>
      <w:r w:rsidRPr="00A3267D">
        <w:rPr>
          <w:rFonts w:asciiTheme="minorEastAsia" w:hAnsiTheme="minorEastAsia" w:cs="Times New Roman"/>
          <w:szCs w:val="24"/>
          <w:lang w:eastAsia="zh-CN"/>
        </w:rPr>
        <w:t>。</w:t>
      </w:r>
    </w:p>
    <w:p w14:paraId="5EFF26BA" w14:textId="268738EA" w:rsidR="00BF2EFD" w:rsidRPr="00A3267D" w:rsidRDefault="00BF2EFD" w:rsidP="000C567C">
      <w:pPr>
        <w:ind w:firstLine="480"/>
        <w:jc w:val="both"/>
        <w:rPr>
          <w:rFonts w:asciiTheme="minorEastAsia" w:hAnsiTheme="minorEastAsia"/>
          <w:szCs w:val="24"/>
          <w:lang w:eastAsia="zh-CN"/>
        </w:rPr>
      </w:pPr>
      <w:r w:rsidRPr="00A3267D">
        <w:rPr>
          <w:rFonts w:ascii="宋体" w:eastAsia="宋体" w:hAnsi="宋体" w:cs="Times New Roman" w:hint="eastAsia"/>
          <w:szCs w:val="24"/>
          <w:lang w:eastAsia="zh-CN"/>
        </w:rPr>
        <w:t>4）</w:t>
      </w:r>
      <w:r w:rsidR="00DD2619" w:rsidRPr="00A3267D">
        <w:rPr>
          <w:rFonts w:asciiTheme="minorEastAsia" w:hAnsiTheme="minorEastAsia" w:hint="eastAsia"/>
          <w:szCs w:val="24"/>
          <w:lang w:eastAsia="zh-CN"/>
        </w:rPr>
        <w:t>化石燃料碳氧化率的不确定度评定</w:t>
      </w:r>
    </w:p>
    <w:p w14:paraId="39DE6B27" w14:textId="2B59EAFE" w:rsidR="007F22F1" w:rsidRPr="00A3267D" w:rsidRDefault="007F22F1"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在水泥行业</w:t>
      </w:r>
      <w:r w:rsidR="007970C4"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目前</w:t>
      </w:r>
      <w:r w:rsidRPr="00A3267D">
        <w:rPr>
          <w:rFonts w:asciiTheme="minorEastAsia" w:hAnsiTheme="minorEastAsia" w:hint="eastAsia"/>
          <w:szCs w:val="24"/>
          <w:lang w:eastAsia="zh-CN"/>
        </w:rPr>
        <w:t>化石燃料碳氧化率</w:t>
      </w:r>
      <w:r w:rsidR="004A761A" w:rsidRPr="00A3267D">
        <w:rPr>
          <w:rFonts w:ascii="宋体" w:eastAsia="宋体" w:hAnsi="宋体" w:cs="Times New Roman" w:hint="eastAsia"/>
          <w:szCs w:val="24"/>
          <w:lang w:eastAsia="zh-CN"/>
        </w:rPr>
        <w:t>一般采用的是默认值进行核算，此处默认值的不确定度依据相</w:t>
      </w:r>
      <w:r w:rsidR="00927862" w:rsidRPr="00A3267D">
        <w:rPr>
          <w:rFonts w:ascii="宋体" w:eastAsia="宋体" w:hAnsi="宋体" w:cs="Times New Roman" w:hint="eastAsia"/>
          <w:szCs w:val="24"/>
          <w:lang w:eastAsia="zh-CN"/>
        </w:rPr>
        <w:t>关权威专家</w:t>
      </w:r>
      <w:r w:rsidRPr="00A3267D">
        <w:rPr>
          <w:rFonts w:ascii="宋体" w:eastAsia="宋体" w:hAnsi="宋体" w:cs="Times New Roman" w:hint="eastAsia"/>
          <w:szCs w:val="24"/>
          <w:lang w:eastAsia="zh-CN"/>
        </w:rPr>
        <w:t>给出的建议值即</w:t>
      </w:r>
      <w:r w:rsidR="007970C4" w:rsidRPr="00A3267D">
        <w:rPr>
          <w:rFonts w:ascii="宋体" w:eastAsia="宋体" w:hAnsi="宋体" w:cs="Times New Roman" w:hint="eastAsia"/>
          <w:szCs w:val="24"/>
          <w:lang w:eastAsia="zh-CN"/>
        </w:rPr>
        <w:t>1</w:t>
      </w:r>
      <w:r w:rsidRPr="00A3267D">
        <w:rPr>
          <w:rFonts w:ascii="宋体" w:eastAsia="宋体" w:hAnsi="宋体" w:cs="Times New Roman" w:hint="eastAsia"/>
          <w:szCs w:val="24"/>
          <w:lang w:eastAsia="zh-CN"/>
        </w:rPr>
        <w:t>%作为其不确定度值。</w:t>
      </w:r>
    </w:p>
    <w:p w14:paraId="2418AA77" w14:textId="2C9F2ACC" w:rsidR="000C567C"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5</w:t>
      </w:r>
      <w:r w:rsidR="00E84E20" w:rsidRPr="00A3267D">
        <w:rPr>
          <w:rFonts w:ascii="宋体" w:eastAsia="宋体" w:hAnsi="宋体" w:cs="Times New Roman" w:hint="eastAsia"/>
          <w:szCs w:val="24"/>
          <w:lang w:eastAsia="zh-CN"/>
        </w:rPr>
        <w:t>）</w:t>
      </w:r>
      <w:r w:rsidR="000C567C" w:rsidRPr="00A3267D">
        <w:rPr>
          <w:rFonts w:ascii="宋体" w:eastAsia="宋体" w:hAnsi="宋体" w:cs="Times New Roman" w:hint="eastAsia"/>
          <w:szCs w:val="24"/>
          <w:lang w:eastAsia="zh-CN"/>
        </w:rPr>
        <w:t>熟料产量</w:t>
      </w:r>
      <w:r w:rsidR="00F3721D" w:rsidRPr="00A3267D">
        <w:rPr>
          <w:rFonts w:ascii="宋体" w:eastAsia="宋体" w:hAnsi="宋体" w:cs="Times New Roman" w:hint="eastAsia"/>
          <w:szCs w:val="24"/>
          <w:lang w:eastAsia="zh-CN"/>
        </w:rPr>
        <w:t>的不确定度评定</w:t>
      </w:r>
    </w:p>
    <w:p w14:paraId="6442A5E7" w14:textId="2AB9010F" w:rsidR="000C567C" w:rsidRPr="00A3267D" w:rsidRDefault="000C567C" w:rsidP="00B93B4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lastRenderedPageBreak/>
        <w:t>依据</w:t>
      </w:r>
      <w:r w:rsidR="006A6864" w:rsidRPr="00A3267D">
        <w:rPr>
          <w:rFonts w:ascii="宋体" w:eastAsia="宋体" w:hAnsi="宋体" w:cs="Times New Roman" w:hint="eastAsia"/>
          <w:szCs w:val="24"/>
          <w:lang w:eastAsia="zh-CN"/>
        </w:rPr>
        <w:t>《</w:t>
      </w:r>
      <w:r w:rsidR="00013D45" w:rsidRPr="00A3267D">
        <w:rPr>
          <w:rFonts w:ascii="宋体" w:eastAsia="宋体" w:hAnsi="宋体" w:cs="Times New Roman"/>
          <w:spacing w:val="-4"/>
          <w:szCs w:val="24"/>
          <w:lang w:eastAsia="zh-CN"/>
        </w:rPr>
        <w:t>碳排放核算与报告要求 第8部分：水泥生产企业》（GB/T</w:t>
      </w:r>
      <w:r w:rsidR="00013D45" w:rsidRPr="00A3267D">
        <w:rPr>
          <w:rFonts w:ascii="宋体" w:eastAsia="宋体" w:hAnsi="宋体" w:cs="Times New Roman" w:hint="eastAsia"/>
          <w:spacing w:val="-4"/>
          <w:szCs w:val="24"/>
          <w:lang w:eastAsia="zh-CN"/>
        </w:rPr>
        <w:t xml:space="preserve"> </w:t>
      </w:r>
      <w:r w:rsidR="00013D45" w:rsidRPr="00A3267D">
        <w:rPr>
          <w:rFonts w:ascii="宋体" w:eastAsia="宋体" w:hAnsi="宋体" w:cs="Times New Roman"/>
          <w:spacing w:val="-4"/>
          <w:szCs w:val="24"/>
          <w:lang w:eastAsia="zh-CN"/>
        </w:rPr>
        <w:t>32151.8-</w:t>
      </w:r>
      <w:r w:rsidR="00013D45" w:rsidRPr="00A3267D">
        <w:rPr>
          <w:rFonts w:ascii="宋体" w:eastAsia="宋体" w:hAnsi="宋体" w:cs="Times New Roman" w:hint="eastAsia"/>
          <w:spacing w:val="-4"/>
          <w:szCs w:val="24"/>
          <w:lang w:eastAsia="zh-CN"/>
        </w:rPr>
        <w:t>2023</w:t>
      </w:r>
      <w:r w:rsidR="00013D45" w:rsidRPr="00A3267D">
        <w:rPr>
          <w:rFonts w:ascii="宋体" w:eastAsia="宋体" w:hAnsi="宋体" w:cs="Times New Roman"/>
          <w:spacing w:val="-4"/>
          <w:szCs w:val="24"/>
          <w:lang w:eastAsia="zh-CN"/>
        </w:rPr>
        <w:t>）</w:t>
      </w:r>
      <w:r w:rsidRPr="00A3267D">
        <w:rPr>
          <w:rFonts w:ascii="宋体" w:eastAsia="宋体" w:hAnsi="宋体" w:cs="Times New Roman" w:hint="eastAsia"/>
          <w:szCs w:val="24"/>
          <w:lang w:eastAsia="zh-CN"/>
        </w:rPr>
        <w:t>,熟料产量需根据熟料产量根据熟料消耗量和库存变化确定，熟料消耗量+出厂熟料数量+期末库存-期初库存”</w:t>
      </w:r>
      <w:r w:rsidR="006A6864"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因此，熟料产量的不确定度</w:t>
      </w:r>
      <w:r w:rsidR="0030151A" w:rsidRPr="00A3267D">
        <w:rPr>
          <w:rFonts w:ascii="宋体" w:eastAsia="宋体" w:hAnsi="宋体" w:cs="Times New Roman" w:hint="eastAsia"/>
          <w:szCs w:val="24"/>
          <w:lang w:eastAsia="zh-CN"/>
        </w:rPr>
        <w:t>评定依据</w:t>
      </w:r>
      <w:r w:rsidRPr="00A3267D">
        <w:rPr>
          <w:rFonts w:ascii="宋体" w:eastAsia="宋体" w:hAnsi="宋体" w:cs="Times New Roman" w:hint="eastAsia"/>
          <w:szCs w:val="24"/>
          <w:lang w:eastAsia="zh-CN"/>
        </w:rPr>
        <w:t>以上数据</w:t>
      </w:r>
      <w:r w:rsidR="006A6864" w:rsidRPr="00A3267D">
        <w:rPr>
          <w:rFonts w:ascii="宋体" w:eastAsia="宋体" w:hAnsi="宋体" w:cs="Times New Roman" w:hint="eastAsia"/>
          <w:szCs w:val="24"/>
          <w:lang w:eastAsia="zh-CN"/>
        </w:rPr>
        <w:t>获取</w:t>
      </w:r>
      <w:r w:rsidRPr="00A3267D">
        <w:rPr>
          <w:rFonts w:ascii="宋体" w:eastAsia="宋体" w:hAnsi="宋体" w:cs="Times New Roman" w:hint="eastAsia"/>
          <w:szCs w:val="24"/>
          <w:lang w:eastAsia="zh-CN"/>
        </w:rPr>
        <w:t>的计量器具</w:t>
      </w:r>
      <w:r w:rsidR="0030151A" w:rsidRPr="00A3267D">
        <w:rPr>
          <w:rFonts w:ascii="宋体" w:eastAsia="宋体" w:hAnsi="宋体" w:cs="Times New Roman" w:hint="eastAsia"/>
          <w:szCs w:val="24"/>
          <w:lang w:eastAsia="zh-CN"/>
        </w:rPr>
        <w:t>得到</w:t>
      </w:r>
      <w:r w:rsidRPr="00A3267D">
        <w:rPr>
          <w:rFonts w:ascii="宋体" w:eastAsia="宋体" w:hAnsi="宋体" w:cs="Times New Roman" w:hint="eastAsia"/>
          <w:szCs w:val="24"/>
          <w:lang w:eastAsia="zh-CN"/>
        </w:rPr>
        <w:t>。</w:t>
      </w:r>
      <w:r w:rsidR="006A6864" w:rsidRPr="00A3267D">
        <w:rPr>
          <w:rFonts w:ascii="宋体" w:eastAsia="宋体" w:hAnsi="宋体" w:cs="Times New Roman" w:hint="eastAsia"/>
          <w:szCs w:val="24"/>
          <w:lang w:eastAsia="zh-CN"/>
        </w:rPr>
        <w:t>根据工厂2024年实际生产情况可知，</w:t>
      </w:r>
      <w:r w:rsidR="00BA4868" w:rsidRPr="00A3267D">
        <w:rPr>
          <w:rFonts w:ascii="宋体" w:eastAsia="宋体" w:hAnsi="宋体" w:cs="Times New Roman" w:hint="eastAsia"/>
          <w:szCs w:val="24"/>
          <w:lang w:eastAsia="zh-CN"/>
        </w:rPr>
        <w:t>依据</w:t>
      </w:r>
      <w:r w:rsidR="006A6864" w:rsidRPr="00A3267D">
        <w:rPr>
          <w:rFonts w:ascii="宋体" w:eastAsia="宋体" w:hAnsi="宋体" w:cs="Times New Roman" w:hint="eastAsia"/>
          <w:szCs w:val="24"/>
          <w:lang w:eastAsia="zh-CN"/>
        </w:rPr>
        <w:t>熟料消耗量计量</w:t>
      </w:r>
      <w:r w:rsidR="00BA4868" w:rsidRPr="00A3267D">
        <w:rPr>
          <w:rFonts w:ascii="宋体" w:eastAsia="宋体" w:hAnsi="宋体" w:cs="Times New Roman" w:hint="eastAsia"/>
          <w:szCs w:val="24"/>
          <w:lang w:eastAsia="zh-CN"/>
        </w:rPr>
        <w:t>设备的</w:t>
      </w:r>
      <w:r w:rsidR="006A6864" w:rsidRPr="00A3267D">
        <w:rPr>
          <w:rFonts w:ascii="宋体" w:eastAsia="宋体" w:hAnsi="宋体" w:cs="Times New Roman" w:hint="eastAsia"/>
          <w:szCs w:val="24"/>
          <w:lang w:eastAsia="zh-CN"/>
        </w:rPr>
        <w:t>最大允许误差和熟料消耗量可知</w:t>
      </w:r>
      <w:r w:rsidR="00B93B4C" w:rsidRPr="00A3267D">
        <w:rPr>
          <w:rFonts w:ascii="宋体" w:eastAsia="宋体" w:hAnsi="宋体" w:cs="Times New Roman" w:hint="eastAsia"/>
          <w:szCs w:val="24"/>
          <w:lang w:eastAsia="zh-CN"/>
        </w:rPr>
        <w:t>熟料消耗量</w:t>
      </w:r>
      <w:r w:rsidR="006A6864" w:rsidRPr="00A3267D">
        <w:rPr>
          <w:rFonts w:ascii="宋体" w:eastAsia="宋体" w:hAnsi="宋体" w:cs="Times New Roman" w:hint="eastAsia"/>
          <w:szCs w:val="24"/>
          <w:lang w:eastAsia="zh-CN"/>
        </w:rPr>
        <w:t>标准不确定度为11059.91t；</w:t>
      </w:r>
      <w:r w:rsidR="004A473C" w:rsidRPr="00A3267D">
        <w:rPr>
          <w:rFonts w:ascii="宋体" w:eastAsia="宋体" w:hAnsi="宋体" w:cs="Times New Roman" w:hint="eastAsia"/>
          <w:szCs w:val="24"/>
          <w:lang w:eastAsia="zh-CN"/>
        </w:rPr>
        <w:t>根据出厂</w:t>
      </w:r>
      <w:r w:rsidR="006A6864" w:rsidRPr="00A3267D">
        <w:rPr>
          <w:rFonts w:ascii="宋体" w:eastAsia="宋体" w:hAnsi="宋体" w:cs="Times New Roman" w:hint="eastAsia"/>
          <w:szCs w:val="24"/>
          <w:lang w:eastAsia="zh-CN"/>
        </w:rPr>
        <w:t>熟料涉及到的计量设备</w:t>
      </w:r>
      <w:r w:rsidR="004A473C" w:rsidRPr="00A3267D">
        <w:rPr>
          <w:rFonts w:ascii="宋体" w:eastAsia="宋体" w:hAnsi="宋体" w:cs="Times New Roman" w:hint="eastAsia"/>
          <w:szCs w:val="24"/>
          <w:lang w:eastAsia="zh-CN"/>
        </w:rPr>
        <w:t>最大允许误差值和出厂</w:t>
      </w:r>
      <w:r w:rsidR="00EE23AA" w:rsidRPr="00A3267D">
        <w:rPr>
          <w:rFonts w:ascii="宋体" w:eastAsia="宋体" w:hAnsi="宋体" w:cs="Times New Roman" w:hint="eastAsia"/>
          <w:szCs w:val="24"/>
          <w:lang w:eastAsia="zh-CN"/>
        </w:rPr>
        <w:t>熟料</w:t>
      </w:r>
      <w:r w:rsidR="004A473C" w:rsidRPr="00A3267D">
        <w:rPr>
          <w:rFonts w:ascii="宋体" w:eastAsia="宋体" w:hAnsi="宋体" w:cs="Times New Roman" w:hint="eastAsia"/>
          <w:szCs w:val="24"/>
          <w:lang w:eastAsia="zh-CN"/>
        </w:rPr>
        <w:t>量可得出</w:t>
      </w:r>
      <w:r w:rsidR="00B93B4C" w:rsidRPr="00A3267D">
        <w:rPr>
          <w:rFonts w:ascii="宋体" w:eastAsia="宋体" w:hAnsi="宋体" w:cs="Times New Roman" w:hint="eastAsia"/>
          <w:szCs w:val="24"/>
          <w:lang w:eastAsia="zh-CN"/>
        </w:rPr>
        <w:t>厂</w:t>
      </w:r>
      <w:r w:rsidR="004A473C" w:rsidRPr="00A3267D">
        <w:rPr>
          <w:rFonts w:ascii="宋体" w:eastAsia="宋体" w:hAnsi="宋体" w:cs="Times New Roman" w:hint="eastAsia"/>
          <w:szCs w:val="24"/>
          <w:lang w:eastAsia="zh-CN"/>
        </w:rPr>
        <w:t>熟料标准不确定度为</w:t>
      </w:r>
      <w:r w:rsidR="00D67DD3" w:rsidRPr="00A3267D">
        <w:rPr>
          <w:rFonts w:ascii="宋体" w:eastAsia="宋体" w:hAnsi="宋体" w:cs="Times New Roman" w:hint="eastAsia"/>
          <w:szCs w:val="24"/>
          <w:lang w:eastAsia="zh-CN"/>
        </w:rPr>
        <w:t>208.05</w:t>
      </w:r>
      <w:r w:rsidR="004A473C" w:rsidRPr="00A3267D">
        <w:rPr>
          <w:rFonts w:ascii="宋体" w:eastAsia="宋体" w:hAnsi="宋体" w:cs="Times New Roman" w:hint="eastAsia"/>
          <w:szCs w:val="24"/>
          <w:lang w:eastAsia="zh-CN"/>
        </w:rPr>
        <w:t>t</w:t>
      </w:r>
      <w:r w:rsidRPr="00A3267D">
        <w:rPr>
          <w:rFonts w:ascii="宋体" w:eastAsia="宋体" w:hAnsi="宋体" w:cs="Times New Roman" w:hint="eastAsia"/>
          <w:szCs w:val="24"/>
          <w:lang w:eastAsia="zh-CN"/>
        </w:rPr>
        <w:t>。</w:t>
      </w:r>
      <w:r w:rsidR="00BA4868" w:rsidRPr="00A3267D">
        <w:rPr>
          <w:rFonts w:ascii="宋体" w:eastAsia="宋体" w:hAnsi="宋体" w:cs="Times New Roman" w:hint="eastAsia"/>
          <w:szCs w:val="24"/>
          <w:lang w:eastAsia="zh-CN"/>
        </w:rPr>
        <w:t>根据外购熟料涉及到的计量设备最大允许误差值和外购熟料量可得出</w:t>
      </w:r>
      <w:r w:rsidR="00B93B4C" w:rsidRPr="00A3267D">
        <w:rPr>
          <w:rFonts w:ascii="宋体" w:eastAsia="宋体" w:hAnsi="宋体" w:cs="Times New Roman" w:hint="eastAsia"/>
          <w:szCs w:val="24"/>
          <w:lang w:eastAsia="zh-CN"/>
        </w:rPr>
        <w:t>外购</w:t>
      </w:r>
      <w:r w:rsidR="00BA4868" w:rsidRPr="00A3267D">
        <w:rPr>
          <w:rFonts w:ascii="宋体" w:eastAsia="宋体" w:hAnsi="宋体" w:cs="Times New Roman" w:hint="eastAsia"/>
          <w:szCs w:val="24"/>
          <w:lang w:eastAsia="zh-CN"/>
        </w:rPr>
        <w:t>熟料标准不确定度为</w:t>
      </w:r>
      <w:r w:rsidR="0034291C" w:rsidRPr="00A3267D">
        <w:rPr>
          <w:rFonts w:ascii="宋体" w:eastAsia="宋体" w:hAnsi="宋体" w:cs="Times New Roman" w:hint="eastAsia"/>
          <w:szCs w:val="24"/>
          <w:lang w:eastAsia="zh-CN"/>
        </w:rPr>
        <w:t>1</w:t>
      </w:r>
      <w:r w:rsidR="005F50FF" w:rsidRPr="00A3267D">
        <w:rPr>
          <w:rFonts w:ascii="宋体" w:eastAsia="宋体" w:hAnsi="宋体" w:cs="Times New Roman" w:hint="eastAsia"/>
          <w:szCs w:val="24"/>
          <w:lang w:eastAsia="zh-CN"/>
        </w:rPr>
        <w:t>5</w:t>
      </w:r>
      <w:r w:rsidR="0034291C" w:rsidRPr="00A3267D">
        <w:rPr>
          <w:rFonts w:ascii="宋体" w:eastAsia="宋体" w:hAnsi="宋体" w:cs="Times New Roman" w:hint="eastAsia"/>
          <w:szCs w:val="24"/>
          <w:lang w:eastAsia="zh-CN"/>
        </w:rPr>
        <w:t>.</w:t>
      </w:r>
      <w:r w:rsidR="005F50FF" w:rsidRPr="00A3267D">
        <w:rPr>
          <w:rFonts w:ascii="宋体" w:eastAsia="宋体" w:hAnsi="宋体" w:cs="Times New Roman" w:hint="eastAsia"/>
          <w:szCs w:val="24"/>
          <w:lang w:eastAsia="zh-CN"/>
        </w:rPr>
        <w:t>824</w:t>
      </w:r>
      <w:r w:rsidR="00BA4868" w:rsidRPr="00A3267D">
        <w:rPr>
          <w:rFonts w:ascii="宋体" w:eastAsia="宋体" w:hAnsi="宋体" w:cs="Times New Roman" w:hint="eastAsia"/>
          <w:szCs w:val="24"/>
          <w:lang w:eastAsia="zh-CN"/>
        </w:rPr>
        <w:t>t。</w:t>
      </w:r>
      <w:r w:rsidR="00B93B4C" w:rsidRPr="00A3267D">
        <w:rPr>
          <w:rFonts w:ascii="宋体" w:eastAsia="宋体" w:hAnsi="宋体" w:cs="Times New Roman" w:hint="eastAsia"/>
          <w:szCs w:val="24"/>
          <w:lang w:eastAsia="zh-CN"/>
        </w:rPr>
        <w:t>得到合成2024年熟料产量合成标准不确定度</w:t>
      </w:r>
      <w:r w:rsidR="009743C3" w:rsidRPr="00A3267D">
        <w:rPr>
          <w:rFonts w:ascii="宋体" w:eastAsia="宋体" w:hAnsi="宋体" w:cs="Times New Roman" w:hint="eastAsia"/>
          <w:szCs w:val="24"/>
          <w:lang w:eastAsia="zh-CN"/>
        </w:rPr>
        <w:t>为11061.</w:t>
      </w:r>
      <w:r w:rsidR="00723F77" w:rsidRPr="00A3267D">
        <w:rPr>
          <w:rFonts w:ascii="宋体" w:eastAsia="宋体" w:hAnsi="宋体" w:cs="Times New Roman" w:hint="eastAsia"/>
          <w:szCs w:val="24"/>
          <w:lang w:eastAsia="zh-CN"/>
        </w:rPr>
        <w:t>88</w:t>
      </w:r>
      <w:r w:rsidR="009743C3" w:rsidRPr="00A3267D">
        <w:rPr>
          <w:rFonts w:ascii="宋体" w:eastAsia="宋体" w:hAnsi="宋体" w:cs="Times New Roman" w:hint="eastAsia"/>
          <w:szCs w:val="24"/>
          <w:lang w:eastAsia="zh-CN"/>
        </w:rPr>
        <w:t>t。</w:t>
      </w:r>
    </w:p>
    <w:p w14:paraId="6BE36F80" w14:textId="71399A04" w:rsidR="000C567C"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6</w:t>
      </w:r>
      <w:r w:rsidR="00E84E20" w:rsidRPr="00A3267D">
        <w:rPr>
          <w:rFonts w:ascii="宋体" w:eastAsia="宋体" w:hAnsi="宋体" w:cs="Times New Roman" w:hint="eastAsia"/>
          <w:szCs w:val="24"/>
          <w:lang w:eastAsia="zh-CN"/>
        </w:rPr>
        <w:t>）</w:t>
      </w:r>
      <w:r w:rsidR="00F3721D" w:rsidRPr="00A3267D">
        <w:rPr>
          <w:rFonts w:ascii="宋体" w:eastAsia="宋体" w:hAnsi="宋体" w:cs="Times New Roman" w:hint="eastAsia"/>
          <w:szCs w:val="24"/>
          <w:lang w:eastAsia="zh-CN"/>
        </w:rPr>
        <w:t>熟料中</w:t>
      </w:r>
      <w:r w:rsidR="000C567C" w:rsidRPr="00A3267D">
        <w:rPr>
          <w:rFonts w:ascii="宋体" w:eastAsia="宋体" w:hAnsi="宋体" w:cs="Times New Roman" w:hint="eastAsia"/>
          <w:szCs w:val="24"/>
          <w:lang w:eastAsia="zh-CN"/>
        </w:rPr>
        <w:t>CaO、MgO含量</w:t>
      </w:r>
      <w:r w:rsidR="00F3721D" w:rsidRPr="00A3267D">
        <w:rPr>
          <w:rFonts w:ascii="宋体" w:eastAsia="宋体" w:hAnsi="宋体" w:cs="Times New Roman" w:hint="eastAsia"/>
          <w:szCs w:val="24"/>
          <w:lang w:eastAsia="zh-CN"/>
        </w:rPr>
        <w:t>的不确定度评定</w:t>
      </w:r>
    </w:p>
    <w:p w14:paraId="02CD346E" w14:textId="49D67759" w:rsidR="002E6706" w:rsidRPr="00A3267D" w:rsidRDefault="00172D16"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熟料中CaO、MgO含量的测定是通过荧光分析仪得到，通过工厂2024年荧光分析仪校准记录</w:t>
      </w:r>
      <w:r w:rsidR="000C567C" w:rsidRPr="00A3267D">
        <w:rPr>
          <w:rFonts w:ascii="宋体" w:eastAsia="宋体" w:hAnsi="宋体" w:cs="Times New Roman" w:hint="eastAsia"/>
          <w:szCs w:val="24"/>
          <w:lang w:eastAsia="zh-CN"/>
        </w:rPr>
        <w:t>（化学分析与荧光分析比对法），得到CaO的</w:t>
      </w:r>
      <w:r w:rsidRPr="00A3267D">
        <w:rPr>
          <w:rFonts w:ascii="宋体" w:eastAsia="宋体" w:hAnsi="宋体" w:cs="Times New Roman" w:hint="eastAsia"/>
          <w:szCs w:val="24"/>
          <w:lang w:eastAsia="zh-CN"/>
        </w:rPr>
        <w:t>荧光测量A类不确定度为0.418%，</w:t>
      </w:r>
      <w:r w:rsidR="000C567C" w:rsidRPr="00A3267D">
        <w:rPr>
          <w:rFonts w:ascii="宋体" w:eastAsia="宋体" w:hAnsi="宋体" w:cs="Times New Roman" w:hint="eastAsia"/>
          <w:szCs w:val="24"/>
          <w:lang w:eastAsia="zh-CN"/>
        </w:rPr>
        <w:t>B类不确定度为0.0</w:t>
      </w:r>
      <w:r w:rsidRPr="00A3267D">
        <w:rPr>
          <w:rFonts w:ascii="宋体" w:eastAsia="宋体" w:hAnsi="宋体" w:cs="Times New Roman" w:hint="eastAsia"/>
          <w:szCs w:val="24"/>
          <w:lang w:eastAsia="zh-CN"/>
        </w:rPr>
        <w:t>58</w:t>
      </w:r>
      <w:r w:rsidR="000C567C"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合成</w:t>
      </w:r>
      <w:r w:rsidR="000C567C" w:rsidRPr="00A3267D">
        <w:rPr>
          <w:rFonts w:ascii="宋体" w:eastAsia="宋体" w:hAnsi="宋体" w:cs="Times New Roman" w:hint="eastAsia"/>
          <w:szCs w:val="24"/>
          <w:lang w:eastAsia="zh-CN"/>
        </w:rPr>
        <w:t>标准不确定度为0.</w:t>
      </w:r>
      <w:r w:rsidRPr="00A3267D">
        <w:rPr>
          <w:rFonts w:ascii="宋体" w:eastAsia="宋体" w:hAnsi="宋体" w:cs="Times New Roman" w:hint="eastAsia"/>
          <w:szCs w:val="24"/>
          <w:lang w:eastAsia="zh-CN"/>
        </w:rPr>
        <w:t>42</w:t>
      </w:r>
      <w:r w:rsidR="000C567C" w:rsidRPr="00A3267D">
        <w:rPr>
          <w:rFonts w:ascii="宋体" w:eastAsia="宋体" w:hAnsi="宋体" w:cs="Times New Roman" w:hint="eastAsia"/>
          <w:szCs w:val="24"/>
          <w:lang w:eastAsia="zh-CN"/>
        </w:rPr>
        <w:t>%；</w:t>
      </w:r>
      <w:r w:rsidR="004247CB" w:rsidRPr="00A3267D">
        <w:rPr>
          <w:rFonts w:ascii="宋体" w:eastAsia="宋体" w:hAnsi="宋体" w:cs="Times New Roman" w:hint="eastAsia"/>
          <w:szCs w:val="24"/>
          <w:lang w:eastAsia="zh-CN"/>
        </w:rPr>
        <w:t>MgO的荧光测量A类不确定度为0.</w:t>
      </w:r>
      <w:r w:rsidR="003E548B" w:rsidRPr="00A3267D">
        <w:rPr>
          <w:rFonts w:ascii="宋体" w:eastAsia="宋体" w:hAnsi="宋体" w:cs="Times New Roman" w:hint="eastAsia"/>
          <w:szCs w:val="24"/>
          <w:lang w:eastAsia="zh-CN"/>
        </w:rPr>
        <w:t>2</w:t>
      </w:r>
      <w:r w:rsidR="004247CB" w:rsidRPr="00A3267D">
        <w:rPr>
          <w:rFonts w:ascii="宋体" w:eastAsia="宋体" w:hAnsi="宋体" w:cs="Times New Roman" w:hint="eastAsia"/>
          <w:szCs w:val="24"/>
          <w:lang w:eastAsia="zh-CN"/>
        </w:rPr>
        <w:t xml:space="preserve"> %，B类不确定度为0.05%，合成标准不确定度为0.</w:t>
      </w:r>
      <w:r w:rsidR="002E6706" w:rsidRPr="00A3267D">
        <w:rPr>
          <w:rFonts w:ascii="宋体" w:eastAsia="宋体" w:hAnsi="宋体" w:cs="Times New Roman" w:hint="eastAsia"/>
          <w:szCs w:val="24"/>
          <w:lang w:eastAsia="zh-CN"/>
        </w:rPr>
        <w:t>2</w:t>
      </w:r>
      <w:r w:rsidR="004247CB" w:rsidRPr="00A3267D">
        <w:rPr>
          <w:rFonts w:ascii="宋体" w:eastAsia="宋体" w:hAnsi="宋体" w:cs="Times New Roman" w:hint="eastAsia"/>
          <w:szCs w:val="24"/>
          <w:lang w:eastAsia="zh-CN"/>
        </w:rPr>
        <w:t>%</w:t>
      </w:r>
      <w:r w:rsidR="002E6706" w:rsidRPr="00A3267D">
        <w:rPr>
          <w:rFonts w:ascii="宋体" w:eastAsia="宋体" w:hAnsi="宋体" w:cs="Times New Roman" w:hint="eastAsia"/>
          <w:szCs w:val="24"/>
          <w:lang w:eastAsia="zh-CN"/>
        </w:rPr>
        <w:t>。</w:t>
      </w:r>
    </w:p>
    <w:p w14:paraId="2738415B" w14:textId="43AD80C0" w:rsidR="000C567C"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7</w:t>
      </w:r>
      <w:r w:rsidR="00E84E20" w:rsidRPr="00A3267D">
        <w:rPr>
          <w:rFonts w:ascii="宋体" w:eastAsia="宋体" w:hAnsi="宋体" w:cs="Times New Roman" w:hint="eastAsia"/>
          <w:szCs w:val="24"/>
          <w:lang w:eastAsia="zh-CN"/>
        </w:rPr>
        <w:t>）</w:t>
      </w:r>
      <w:r w:rsidR="000C567C" w:rsidRPr="00A3267D">
        <w:rPr>
          <w:rFonts w:ascii="宋体" w:eastAsia="宋体" w:hAnsi="宋体" w:cs="Times New Roman" w:hint="eastAsia"/>
          <w:szCs w:val="24"/>
          <w:lang w:eastAsia="zh-CN"/>
        </w:rPr>
        <w:t>替代原料的消耗量</w:t>
      </w:r>
      <w:r w:rsidR="00F3721D" w:rsidRPr="00A3267D">
        <w:rPr>
          <w:rFonts w:ascii="宋体" w:eastAsia="宋体" w:hAnsi="宋体" w:cs="Times New Roman" w:hint="eastAsia"/>
          <w:szCs w:val="24"/>
          <w:lang w:eastAsia="zh-CN"/>
        </w:rPr>
        <w:t>的不确定度评定</w:t>
      </w:r>
    </w:p>
    <w:p w14:paraId="31EE9A4B" w14:textId="0DB0CDC6" w:rsidR="000C567C" w:rsidRPr="00A3267D" w:rsidRDefault="000C567C" w:rsidP="007D096B">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依据</w:t>
      </w:r>
      <w:r w:rsidR="00431248" w:rsidRPr="00A3267D">
        <w:rPr>
          <w:rFonts w:ascii="宋体" w:eastAsia="宋体" w:hAnsi="宋体" w:cs="Times New Roman" w:hint="eastAsia"/>
          <w:szCs w:val="24"/>
          <w:lang w:eastAsia="zh-CN"/>
        </w:rPr>
        <w:t>《</w:t>
      </w:r>
      <w:r w:rsidR="00A72AE6" w:rsidRPr="00A3267D">
        <w:rPr>
          <w:rFonts w:ascii="宋体" w:eastAsia="宋体" w:hAnsi="宋体" w:cs="Times New Roman"/>
          <w:spacing w:val="-4"/>
          <w:szCs w:val="24"/>
          <w:lang w:eastAsia="zh-CN"/>
        </w:rPr>
        <w:t>碳排放核算与报告要求 第8部分：水泥生产企业》（GB/T</w:t>
      </w:r>
      <w:r w:rsidR="00A72AE6" w:rsidRPr="00A3267D">
        <w:rPr>
          <w:rFonts w:ascii="宋体" w:eastAsia="宋体" w:hAnsi="宋体" w:cs="Times New Roman" w:hint="eastAsia"/>
          <w:spacing w:val="-4"/>
          <w:szCs w:val="24"/>
          <w:lang w:eastAsia="zh-CN"/>
        </w:rPr>
        <w:t xml:space="preserve"> </w:t>
      </w:r>
      <w:r w:rsidR="00A72AE6" w:rsidRPr="00A3267D">
        <w:rPr>
          <w:rFonts w:ascii="宋体" w:eastAsia="宋体" w:hAnsi="宋体" w:cs="Times New Roman"/>
          <w:spacing w:val="-4"/>
          <w:szCs w:val="24"/>
          <w:lang w:eastAsia="zh-CN"/>
        </w:rPr>
        <w:t>32151.8-</w:t>
      </w:r>
      <w:r w:rsidR="00A72AE6" w:rsidRPr="00A3267D">
        <w:rPr>
          <w:rFonts w:ascii="宋体" w:eastAsia="宋体" w:hAnsi="宋体" w:cs="Times New Roman" w:hint="eastAsia"/>
          <w:spacing w:val="-4"/>
          <w:szCs w:val="24"/>
          <w:lang w:eastAsia="zh-CN"/>
        </w:rPr>
        <w:t>2023</w:t>
      </w:r>
      <w:r w:rsidR="00A72AE6" w:rsidRPr="00A3267D">
        <w:rPr>
          <w:rFonts w:ascii="宋体" w:eastAsia="宋体" w:hAnsi="宋体" w:cs="Times New Roman"/>
          <w:spacing w:val="-4"/>
          <w:szCs w:val="24"/>
          <w:lang w:eastAsia="zh-CN"/>
        </w:rPr>
        <w:t>）</w:t>
      </w:r>
      <w:r w:rsidRPr="00A3267D">
        <w:rPr>
          <w:rFonts w:ascii="宋体" w:eastAsia="宋体" w:hAnsi="宋体" w:cs="Times New Roman" w:hint="eastAsia"/>
          <w:szCs w:val="24"/>
          <w:lang w:eastAsia="zh-CN"/>
        </w:rPr>
        <w:t>，替代原料消耗量根据计量数据及月底盘库量确定。</w:t>
      </w:r>
      <w:r w:rsidR="00C60BDD" w:rsidRPr="00A3267D">
        <w:rPr>
          <w:rFonts w:ascii="宋体" w:eastAsia="宋体" w:hAnsi="宋体" w:cs="Times New Roman" w:hint="eastAsia"/>
          <w:szCs w:val="24"/>
          <w:lang w:eastAsia="zh-CN"/>
        </w:rPr>
        <w:t>2024年</w:t>
      </w:r>
      <w:r w:rsidRPr="00A3267D">
        <w:rPr>
          <w:rFonts w:ascii="宋体" w:eastAsia="宋体" w:hAnsi="宋体" w:cs="Times New Roman" w:hint="eastAsia"/>
          <w:szCs w:val="24"/>
          <w:lang w:eastAsia="zh-CN"/>
        </w:rPr>
        <w:t>替代原料消耗量的不确定度由</w:t>
      </w:r>
      <w:r w:rsidR="00AC10AD" w:rsidRPr="00A3267D">
        <w:rPr>
          <w:rFonts w:ascii="宋体" w:eastAsia="宋体" w:hAnsi="宋体" w:cs="Times New Roman" w:hint="eastAsia"/>
          <w:szCs w:val="24"/>
          <w:lang w:eastAsia="zh-CN"/>
        </w:rPr>
        <w:t>涉及到的</w:t>
      </w:r>
      <w:r w:rsidR="00C60BDD" w:rsidRPr="00A3267D">
        <w:rPr>
          <w:rFonts w:ascii="宋体" w:eastAsia="宋体" w:hAnsi="宋体" w:cs="Times New Roman" w:hint="eastAsia"/>
          <w:szCs w:val="24"/>
          <w:lang w:eastAsia="zh-CN"/>
        </w:rPr>
        <w:t>计量设备的最大允许误差和2024年替代原料消耗量得到为170.7</w:t>
      </w:r>
      <w:r w:rsidR="00440E63" w:rsidRPr="00A3267D">
        <w:rPr>
          <w:rFonts w:ascii="宋体" w:eastAsia="宋体" w:hAnsi="宋体" w:cs="Times New Roman" w:hint="eastAsia"/>
          <w:szCs w:val="24"/>
          <w:lang w:eastAsia="zh-CN"/>
        </w:rPr>
        <w:t>5</w:t>
      </w:r>
      <w:r w:rsidR="00C60BDD" w:rsidRPr="00A3267D">
        <w:rPr>
          <w:rFonts w:ascii="宋体" w:eastAsia="宋体" w:hAnsi="宋体" w:cs="Times New Roman" w:hint="eastAsia"/>
          <w:szCs w:val="24"/>
          <w:lang w:eastAsia="zh-CN"/>
        </w:rPr>
        <w:t>t</w:t>
      </w:r>
      <w:r w:rsidRPr="00A3267D">
        <w:rPr>
          <w:rFonts w:ascii="宋体" w:eastAsia="宋体" w:hAnsi="宋体" w:cs="Times New Roman" w:hint="eastAsia"/>
          <w:szCs w:val="24"/>
          <w:lang w:eastAsia="zh-CN"/>
        </w:rPr>
        <w:t>。</w:t>
      </w:r>
    </w:p>
    <w:p w14:paraId="29A1EE30" w14:textId="72312368" w:rsidR="000C567C" w:rsidRPr="00A3267D" w:rsidRDefault="00BF2EFD" w:rsidP="000C567C">
      <w:pPr>
        <w:ind w:firstLine="480"/>
        <w:jc w:val="both"/>
        <w:rPr>
          <w:rFonts w:ascii="宋体" w:eastAsia="宋体" w:hAnsi="宋体" w:cs="Times New Roman"/>
          <w:b/>
          <w:szCs w:val="24"/>
          <w:lang w:eastAsia="zh-CN"/>
        </w:rPr>
      </w:pPr>
      <w:r w:rsidRPr="00A3267D">
        <w:rPr>
          <w:rFonts w:ascii="宋体" w:eastAsia="宋体" w:hAnsi="宋体" w:cs="Times New Roman" w:hint="eastAsia"/>
          <w:szCs w:val="24"/>
          <w:lang w:eastAsia="zh-CN"/>
        </w:rPr>
        <w:t>8</w:t>
      </w:r>
      <w:r w:rsidR="00E84E20" w:rsidRPr="00A3267D">
        <w:rPr>
          <w:rFonts w:ascii="宋体" w:eastAsia="宋体" w:hAnsi="宋体" w:cs="Times New Roman" w:hint="eastAsia"/>
          <w:szCs w:val="24"/>
          <w:lang w:eastAsia="zh-CN"/>
        </w:rPr>
        <w:t>）</w:t>
      </w:r>
      <w:r w:rsidR="000C567C" w:rsidRPr="00A3267D">
        <w:rPr>
          <w:rFonts w:ascii="宋体" w:eastAsia="宋体" w:hAnsi="宋体" w:cs="Times New Roman" w:hint="eastAsia"/>
          <w:szCs w:val="24"/>
          <w:lang w:eastAsia="zh-CN"/>
        </w:rPr>
        <w:t>替代原料中的CaO、MgO含量</w:t>
      </w:r>
      <w:r w:rsidR="00F3721D" w:rsidRPr="00A3267D">
        <w:rPr>
          <w:rFonts w:ascii="宋体" w:eastAsia="宋体" w:hAnsi="宋体" w:cs="Times New Roman" w:hint="eastAsia"/>
          <w:szCs w:val="24"/>
          <w:lang w:eastAsia="zh-CN"/>
        </w:rPr>
        <w:t>的不确定度评定</w:t>
      </w:r>
    </w:p>
    <w:p w14:paraId="443B7118" w14:textId="3F68EDEE" w:rsidR="000C567C" w:rsidRPr="00A3267D" w:rsidRDefault="000C567C"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因工厂并未就替代原料中的CaO、MgO</w:t>
      </w:r>
      <w:r w:rsidR="00C27603" w:rsidRPr="00A3267D">
        <w:rPr>
          <w:rFonts w:ascii="宋体" w:eastAsia="宋体" w:hAnsi="宋体" w:cs="Times New Roman" w:hint="eastAsia"/>
          <w:szCs w:val="24"/>
          <w:lang w:eastAsia="zh-CN"/>
        </w:rPr>
        <w:t>含量进行校准测量，无相关数据进行计算。因替代原料中的CaO、MgO含量测量设备</w:t>
      </w:r>
      <w:r w:rsidR="00657787" w:rsidRPr="00A3267D">
        <w:rPr>
          <w:rFonts w:ascii="宋体" w:eastAsia="宋体" w:hAnsi="宋体" w:cs="Times New Roman" w:hint="eastAsia"/>
          <w:szCs w:val="24"/>
          <w:lang w:eastAsia="zh-CN"/>
        </w:rPr>
        <w:t>为</w:t>
      </w:r>
      <w:r w:rsidR="00C27603" w:rsidRPr="00A3267D">
        <w:rPr>
          <w:rFonts w:ascii="宋体" w:eastAsia="宋体" w:hAnsi="宋体" w:cs="Times New Roman" w:hint="eastAsia"/>
          <w:szCs w:val="24"/>
          <w:lang w:eastAsia="zh-CN"/>
        </w:rPr>
        <w:t>荧光分析仪，</w:t>
      </w:r>
      <w:r w:rsidR="00657787" w:rsidRPr="00A3267D">
        <w:rPr>
          <w:rFonts w:ascii="宋体" w:eastAsia="宋体" w:hAnsi="宋体" w:cs="Times New Roman" w:hint="eastAsia"/>
          <w:szCs w:val="24"/>
          <w:lang w:eastAsia="zh-CN"/>
        </w:rPr>
        <w:t>与测量熟料中CaO、MgO含量为同一设备，</w:t>
      </w:r>
      <w:r w:rsidR="00CE6D67" w:rsidRPr="00A3267D">
        <w:rPr>
          <w:rFonts w:ascii="宋体" w:eastAsia="宋体" w:hAnsi="宋体" w:cs="Times New Roman" w:hint="eastAsia"/>
          <w:szCs w:val="24"/>
          <w:lang w:eastAsia="zh-CN"/>
        </w:rPr>
        <w:t>取</w:t>
      </w:r>
      <w:r w:rsidR="00C27603" w:rsidRPr="00A3267D">
        <w:rPr>
          <w:rFonts w:ascii="宋体" w:eastAsia="宋体" w:hAnsi="宋体" w:cs="Times New Roman" w:hint="eastAsia"/>
          <w:szCs w:val="24"/>
          <w:lang w:eastAsia="zh-CN"/>
        </w:rPr>
        <w:t>熟料中CaO、MgO含量不确定度值进行评定。</w:t>
      </w:r>
    </w:p>
    <w:p w14:paraId="376E6E66" w14:textId="377CABC3" w:rsidR="000C567C"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9</w:t>
      </w:r>
      <w:r w:rsidR="00E84E20" w:rsidRPr="00A3267D">
        <w:rPr>
          <w:rFonts w:ascii="宋体" w:eastAsia="宋体" w:hAnsi="宋体" w:cs="Times New Roman" w:hint="eastAsia"/>
          <w:szCs w:val="24"/>
          <w:lang w:eastAsia="zh-CN"/>
        </w:rPr>
        <w:t>）</w:t>
      </w:r>
      <w:r w:rsidR="000C567C" w:rsidRPr="00A3267D">
        <w:rPr>
          <w:rFonts w:ascii="宋体" w:eastAsia="宋体" w:hAnsi="宋体" w:cs="Times New Roman" w:hint="eastAsia"/>
          <w:szCs w:val="24"/>
          <w:lang w:eastAsia="zh-CN"/>
        </w:rPr>
        <w:t>灵敏系数</w:t>
      </w:r>
    </w:p>
    <w:p w14:paraId="391F3DCA" w14:textId="1CD548D1" w:rsidR="00A14A8B" w:rsidRPr="00A3267D" w:rsidRDefault="000C567C" w:rsidP="005366A6">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依据标准中</w:t>
      </w:r>
      <w:r w:rsidR="00A14A8B" w:rsidRPr="00A3267D">
        <w:rPr>
          <w:rFonts w:ascii="宋体" w:eastAsia="宋体" w:hAnsi="宋体" w:cs="Times New Roman" w:hint="eastAsia"/>
          <w:szCs w:val="24"/>
          <w:lang w:eastAsia="zh-CN"/>
        </w:rPr>
        <w:t>公式（22）-（32）</w:t>
      </w:r>
      <w:r w:rsidRPr="00A3267D">
        <w:rPr>
          <w:rFonts w:ascii="宋体" w:eastAsia="宋体" w:hAnsi="宋体" w:cs="Times New Roman" w:hint="eastAsia"/>
          <w:szCs w:val="24"/>
          <w:lang w:eastAsia="zh-CN"/>
        </w:rPr>
        <w:t>计算方法及2024年全年度碳排放</w:t>
      </w:r>
      <w:r w:rsidR="00A14A8B" w:rsidRPr="00A3267D">
        <w:rPr>
          <w:rFonts w:ascii="宋体" w:eastAsia="宋体" w:hAnsi="宋体" w:cs="Times New Roman" w:hint="eastAsia"/>
          <w:szCs w:val="24"/>
          <w:lang w:eastAsia="zh-CN"/>
        </w:rPr>
        <w:t>核查</w:t>
      </w:r>
      <w:r w:rsidRPr="00A3267D">
        <w:rPr>
          <w:rFonts w:ascii="宋体" w:eastAsia="宋体" w:hAnsi="宋体" w:cs="Times New Roman" w:hint="eastAsia"/>
          <w:szCs w:val="24"/>
          <w:lang w:eastAsia="zh-CN"/>
        </w:rPr>
        <w:t>数据计算各项参数的灵敏度系数，得到</w:t>
      </w:r>
      <w:r w:rsidR="00A14A8B" w:rsidRPr="00A3267D">
        <w:rPr>
          <w:rFonts w:asciiTheme="minorEastAsia" w:hAnsiTheme="minorEastAsia" w:hint="eastAsia"/>
          <w:szCs w:val="24"/>
          <w:lang w:eastAsia="zh-CN"/>
        </w:rPr>
        <w:t>石燃料消耗量</w:t>
      </w:r>
      <m:oMath>
        <m:sSub>
          <m:sSubPr>
            <m:ctrlPr>
              <w:rPr>
                <w:rFonts w:ascii="Cambria Math" w:hAnsi="Cambria Math"/>
                <w:szCs w:val="24"/>
              </w:rPr>
            </m:ctrlPr>
          </m:sSubPr>
          <m:e>
            <m:r>
              <m:rPr>
                <m:sty m:val="p"/>
              </m:rPr>
              <w:rPr>
                <w:rFonts w:ascii="Cambria Math" w:hAnsi="Cambria Math"/>
                <w:szCs w:val="24"/>
                <w:lang w:eastAsia="zh-CN"/>
              </w:rPr>
              <m:t>FC</m:t>
            </m:r>
          </m:e>
          <m:sub>
            <m:r>
              <m:rPr>
                <m:sty m:val="p"/>
              </m:rPr>
              <w:rPr>
                <w:rFonts w:ascii="Cambria Math" w:hAnsi="Cambria Math"/>
                <w:szCs w:val="24"/>
                <w:lang w:eastAsia="zh-CN"/>
              </w:rPr>
              <m:t>i</m:t>
            </m:r>
          </m:sub>
        </m:sSub>
      </m:oMath>
      <w:r w:rsidR="00A14A8B" w:rsidRPr="00A3267D">
        <w:rPr>
          <w:rFonts w:asciiTheme="minorEastAsia" w:hAnsiTheme="minorEastAsia" w:hint="eastAsia"/>
          <w:szCs w:val="24"/>
          <w:lang w:eastAsia="zh-CN"/>
        </w:rPr>
        <w:t>、化石燃料低位发热量</w:t>
      </w:r>
      <m:oMath>
        <m:sSub>
          <m:sSubPr>
            <m:ctrlPr>
              <w:rPr>
                <w:rFonts w:ascii="Cambria Math" w:hAnsi="Cambria Math"/>
                <w:szCs w:val="24"/>
              </w:rPr>
            </m:ctrlPr>
          </m:sSubPr>
          <m:e>
            <m:r>
              <m:rPr>
                <m:sty m:val="p"/>
              </m:rPr>
              <w:rPr>
                <w:rFonts w:ascii="Cambria Math" w:hAnsi="Cambria Math"/>
                <w:szCs w:val="24"/>
                <w:lang w:eastAsia="zh-CN"/>
              </w:rPr>
              <m:t>NCV</m:t>
            </m:r>
          </m:e>
          <m:sub>
            <m:r>
              <m:rPr>
                <m:sty m:val="p"/>
              </m:rPr>
              <w:rPr>
                <w:rFonts w:ascii="Cambria Math" w:hAnsi="Cambria Math"/>
                <w:szCs w:val="24"/>
                <w:lang w:eastAsia="zh-CN"/>
              </w:rPr>
              <m:t>i</m:t>
            </m:r>
          </m:sub>
        </m:sSub>
      </m:oMath>
      <w:r w:rsidR="00A14A8B" w:rsidRPr="00A3267D">
        <w:rPr>
          <w:rFonts w:asciiTheme="minorEastAsia" w:hAnsiTheme="minorEastAsia" w:hint="eastAsia"/>
          <w:szCs w:val="24"/>
          <w:lang w:eastAsia="zh-CN"/>
        </w:rPr>
        <w:t>、化石燃料低位热值含碳量</w:t>
      </w:r>
      <m:oMath>
        <m:sSub>
          <m:sSubPr>
            <m:ctrlPr>
              <w:rPr>
                <w:rFonts w:ascii="Cambria Math" w:hAnsi="Cambria Math"/>
                <w:szCs w:val="24"/>
              </w:rPr>
            </m:ctrlPr>
          </m:sSubPr>
          <m:e>
            <m:r>
              <m:rPr>
                <m:sty m:val="p"/>
              </m:rPr>
              <w:rPr>
                <w:rFonts w:ascii="Cambria Math" w:hAnsi="Cambria Math"/>
                <w:szCs w:val="24"/>
                <w:lang w:eastAsia="zh-CN"/>
              </w:rPr>
              <m:t>CC</m:t>
            </m:r>
          </m:e>
          <m:sub>
            <m:r>
              <m:rPr>
                <m:sty m:val="p"/>
              </m:rPr>
              <w:rPr>
                <w:rFonts w:ascii="Cambria Math" w:hAnsi="Cambria Math"/>
                <w:szCs w:val="24"/>
                <w:lang w:eastAsia="zh-CN"/>
              </w:rPr>
              <m:t>i</m:t>
            </m:r>
          </m:sub>
        </m:sSub>
      </m:oMath>
      <w:r w:rsidR="00A14A8B" w:rsidRPr="00A3267D">
        <w:rPr>
          <w:rFonts w:asciiTheme="minorEastAsia" w:hAnsiTheme="minorEastAsia" w:hint="eastAsia"/>
          <w:szCs w:val="24"/>
          <w:lang w:eastAsia="zh-CN"/>
        </w:rPr>
        <w:t>、化石燃料碳氧化率</w:t>
      </w:r>
      <m:oMath>
        <m:sSub>
          <m:sSubPr>
            <m:ctrlPr>
              <w:rPr>
                <w:rFonts w:ascii="Cambria Math" w:hAnsi="Cambria Math"/>
                <w:szCs w:val="24"/>
              </w:rPr>
            </m:ctrlPr>
          </m:sSubPr>
          <m:e>
            <m:r>
              <m:rPr>
                <m:sty m:val="p"/>
              </m:rPr>
              <w:rPr>
                <w:rFonts w:ascii="Cambria Math" w:hAnsi="Cambria Math"/>
                <w:szCs w:val="24"/>
                <w:lang w:eastAsia="zh-CN"/>
              </w:rPr>
              <m:t>OF</m:t>
            </m:r>
          </m:e>
          <m:sub>
            <m:r>
              <m:rPr>
                <m:sty m:val="p"/>
              </m:rPr>
              <w:rPr>
                <w:rFonts w:ascii="Cambria Math" w:hAnsi="Cambria Math"/>
                <w:szCs w:val="24"/>
                <w:lang w:eastAsia="zh-CN"/>
              </w:rPr>
              <m:t>i</m:t>
            </m:r>
          </m:sub>
        </m:sSub>
      </m:oMath>
      <w:r w:rsidR="00A14A8B" w:rsidRPr="00A3267D">
        <w:rPr>
          <w:rFonts w:asciiTheme="minorEastAsia" w:hAnsiTheme="minorEastAsia" w:hint="eastAsia"/>
          <w:szCs w:val="24"/>
          <w:lang w:eastAsia="zh-CN"/>
        </w:rPr>
        <w:t>、熟料产量</w:t>
      </w:r>
      <m:oMath>
        <m:r>
          <m:rPr>
            <m:sty m:val="p"/>
          </m:rPr>
          <w:rPr>
            <w:rFonts w:ascii="Cambria Math" w:hAnsi="Cambria Math"/>
            <w:szCs w:val="24"/>
            <w:lang w:eastAsia="zh-CN"/>
          </w:rPr>
          <m:t>Q</m:t>
        </m:r>
      </m:oMath>
      <w:r w:rsidR="00A14A8B" w:rsidRPr="00A3267D">
        <w:rPr>
          <w:rFonts w:asciiTheme="minorEastAsia" w:hAnsiTheme="minorEastAsia" w:hint="eastAsia"/>
          <w:szCs w:val="24"/>
          <w:lang w:eastAsia="zh-CN"/>
        </w:rPr>
        <w:t xml:space="preserve"> 、熟料中氧化钙含量</w:t>
      </w:r>
      <m:oMath>
        <m:sSub>
          <m:sSubPr>
            <m:ctrlPr>
              <w:rPr>
                <w:rFonts w:ascii="Cambria Math" w:hAnsi="Cambria Math"/>
                <w:szCs w:val="24"/>
              </w:rPr>
            </m:ctrlPr>
          </m:sSubPr>
          <m:e>
            <m:r>
              <m:rPr>
                <m:sty m:val="p"/>
              </m:rPr>
              <w:rPr>
                <w:rFonts w:ascii="Cambria Math" w:hAnsi="Cambria Math"/>
                <w:szCs w:val="24"/>
                <w:lang w:eastAsia="zh-CN"/>
              </w:rPr>
              <m:t>FR</m:t>
            </m:r>
          </m:e>
          <m:sub>
            <m:r>
              <m:rPr>
                <m:sty m:val="p"/>
              </m:rPr>
              <w:rPr>
                <w:rFonts w:ascii="Cambria Math" w:hAnsi="Cambria Math"/>
                <w:szCs w:val="24"/>
                <w:lang w:eastAsia="zh-CN"/>
              </w:rPr>
              <m:t>1</m:t>
            </m:r>
          </m:sub>
        </m:sSub>
      </m:oMath>
      <w:r w:rsidR="00A14A8B" w:rsidRPr="00A3267D">
        <w:rPr>
          <w:rFonts w:ascii="宋体" w:eastAsia="宋体" w:hAnsi="宋体" w:cs="Times New Roman"/>
          <w:szCs w:val="24"/>
          <w:lang w:eastAsia="zh-CN"/>
        </w:rPr>
        <w:t>、熟料中氧化镁含量</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2</m:t>
            </m:r>
          </m:sub>
        </m:sSub>
      </m:oMath>
      <w:r w:rsidR="00A14A8B" w:rsidRPr="00A3267D">
        <w:rPr>
          <w:rFonts w:ascii="宋体" w:eastAsia="宋体" w:hAnsi="宋体" w:cs="Times New Roman"/>
          <w:szCs w:val="24"/>
          <w:lang w:eastAsia="zh-CN"/>
        </w:rPr>
        <w:t>、非碳酸盐替代原料消耗量</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Q</m:t>
            </m:r>
          </m:e>
          <m:sub>
            <m:r>
              <m:rPr>
                <m:sty m:val="p"/>
              </m:rPr>
              <w:rPr>
                <w:rFonts w:ascii="Cambria Math" w:eastAsia="宋体" w:hAnsi="Cambria Math" w:cs="Times New Roman"/>
                <w:szCs w:val="24"/>
                <w:lang w:eastAsia="zh-CN"/>
              </w:rPr>
              <m:t>1i</m:t>
            </m:r>
          </m:sub>
        </m:sSub>
      </m:oMath>
      <w:r w:rsidR="00A14A8B" w:rsidRPr="00A3267D">
        <w:rPr>
          <w:rFonts w:ascii="宋体" w:eastAsia="宋体" w:hAnsi="宋体" w:cs="Times New Roman"/>
          <w:szCs w:val="24"/>
          <w:lang w:eastAsia="zh-CN"/>
        </w:rPr>
        <w:t>、非碳酸盐替代原料中氧化钙含量</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1i</m:t>
            </m:r>
          </m:sub>
        </m:sSub>
      </m:oMath>
      <w:r w:rsidR="00A14A8B" w:rsidRPr="00A3267D">
        <w:rPr>
          <w:rFonts w:ascii="宋体" w:eastAsia="宋体" w:hAnsi="宋体" w:cs="Times New Roman"/>
          <w:szCs w:val="24"/>
          <w:lang w:eastAsia="zh-CN"/>
        </w:rPr>
        <w:t>、非碳酸盐替代原料中氧化镁含量</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2i</m:t>
            </m:r>
          </m:sub>
        </m:sSub>
      </m:oMath>
      <w:r w:rsidR="00A14A8B" w:rsidRPr="00A3267D">
        <w:rPr>
          <w:rFonts w:ascii="宋体" w:eastAsia="宋体" w:hAnsi="宋体" w:cs="Times New Roman" w:hint="eastAsia"/>
          <w:szCs w:val="24"/>
          <w:lang w:eastAsia="zh-CN"/>
        </w:rPr>
        <w:t>的灵敏系数分</w:t>
      </w:r>
      <w:r w:rsidR="00A14A8B" w:rsidRPr="00A3267D">
        <w:rPr>
          <w:rFonts w:ascii="宋体" w:eastAsia="宋体" w:hAnsi="宋体" w:cs="Times New Roman" w:hint="eastAsia"/>
          <w:szCs w:val="24"/>
          <w:lang w:eastAsia="zh-CN"/>
        </w:rPr>
        <w:lastRenderedPageBreak/>
        <w:t>别为：</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FC</m:t>
            </m:r>
          </m:e>
          <m:sub>
            <m:r>
              <m:rPr>
                <m:sty m:val="p"/>
              </m:rPr>
              <w:rPr>
                <w:rFonts w:ascii="Cambria Math" w:eastAsia="宋体" w:hAnsi="Cambria Math" w:cs="Times New Roman"/>
                <w:szCs w:val="24"/>
                <w:lang w:eastAsia="zh-CN"/>
              </w:rPr>
              <m:t>i</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2.13、</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NCV</m:t>
            </m:r>
          </m:e>
          <m:sub>
            <m:r>
              <m:rPr>
                <m:sty m:val="p"/>
              </m:rPr>
              <w:rPr>
                <w:rFonts w:ascii="Cambria Math" w:eastAsia="宋体" w:hAnsi="Cambria Math" w:cs="Times New Roman"/>
                <w:szCs w:val="24"/>
                <w:lang w:eastAsia="zh-CN"/>
              </w:rPr>
              <m:t>i</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11763.35、</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CC</m:t>
            </m:r>
          </m:e>
          <m:sub>
            <m:r>
              <m:rPr>
                <m:sty m:val="p"/>
              </m:rPr>
              <w:rPr>
                <w:rFonts w:ascii="Cambria Math" w:eastAsia="宋体" w:hAnsi="Cambria Math" w:cs="Times New Roman"/>
                <w:szCs w:val="24"/>
                <w:lang w:eastAsia="zh-CN"/>
              </w:rPr>
              <m:t>i</m:t>
            </m:r>
          </m:sub>
        </m:sSub>
      </m:oMath>
      <w:r w:rsidR="00A14A8B" w:rsidRPr="00A3267D">
        <w:rPr>
          <w:rFonts w:ascii="宋体" w:eastAsia="宋体" w:hAnsi="宋体" w:cs="Times New Roman"/>
          <w:szCs w:val="24"/>
          <w:lang w:eastAsia="zh-CN"/>
        </w:rPr>
        <w:t xml:space="preserve">)= </w:t>
      </w:r>
      <w:r w:rsidR="00A14A8B" w:rsidRPr="00A3267D">
        <w:rPr>
          <w:rFonts w:ascii="宋体" w:eastAsia="宋体" w:hAnsi="宋体" w:cs="Times New Roman" w:hint="eastAsia"/>
          <w:szCs w:val="24"/>
          <w:lang w:eastAsia="zh-CN"/>
        </w:rPr>
        <w:t>10060408.55、</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OF</m:t>
            </m:r>
          </m:e>
          <m:sub>
            <m:r>
              <m:rPr>
                <m:sty m:val="p"/>
              </m:rPr>
              <w:rPr>
                <w:rFonts w:ascii="Cambria Math" w:eastAsia="宋体" w:hAnsi="Cambria Math" w:cs="Times New Roman"/>
                <w:szCs w:val="24"/>
                <w:lang w:eastAsia="zh-CN"/>
              </w:rPr>
              <m:t>i</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266041.92、</w:t>
      </w:r>
      <w:r w:rsidR="00A14A8B" w:rsidRPr="00A3267D">
        <w:rPr>
          <w:rFonts w:ascii="宋体" w:eastAsia="宋体" w:hAnsi="宋体" w:cs="Times New Roman"/>
          <w:szCs w:val="24"/>
          <w:lang w:eastAsia="zh-CN"/>
        </w:rPr>
        <w:t>C(</w:t>
      </w:r>
      <m:oMath>
        <m:r>
          <m:rPr>
            <m:sty m:val="p"/>
          </m:rPr>
          <w:rPr>
            <w:rFonts w:ascii="Cambria Math" w:eastAsia="宋体" w:hAnsi="Cambria Math" w:cs="Times New Roman"/>
            <w:szCs w:val="24"/>
            <w:lang w:eastAsia="zh-CN"/>
          </w:rPr>
          <m:t>Q</m:t>
        </m:r>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0.34、</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1</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875544.41、</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2</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1225762.18、</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Q</m:t>
            </m:r>
          </m:e>
          <m:sub>
            <m:r>
              <m:rPr>
                <m:sty m:val="p"/>
              </m:rPr>
              <w:rPr>
                <w:rFonts w:ascii="Cambria Math" w:eastAsia="宋体" w:hAnsi="Cambria Math" w:cs="Times New Roman"/>
                <w:szCs w:val="24"/>
                <w:lang w:eastAsia="zh-CN"/>
              </w:rPr>
              <m:t>1i</m:t>
            </m:r>
          </m:sub>
        </m:sSub>
      </m:oMath>
      <w:r w:rsidR="00A14A8B" w:rsidRPr="00A3267D">
        <w:rPr>
          <w:rFonts w:ascii="宋体" w:eastAsia="宋体" w:hAnsi="宋体" w:cs="Times New Roman"/>
          <w:szCs w:val="24"/>
          <w:lang w:eastAsia="zh-CN"/>
        </w:rPr>
        <w:t>)= -</w:t>
      </w:r>
      <w:r w:rsidR="00A14A8B" w:rsidRPr="00A3267D">
        <w:rPr>
          <w:rFonts w:ascii="宋体" w:eastAsia="宋体" w:hAnsi="宋体" w:cs="Times New Roman" w:hint="eastAsia"/>
          <w:szCs w:val="24"/>
          <w:lang w:eastAsia="zh-CN"/>
        </w:rPr>
        <w:t>0.0038、</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1i</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-92947.59</w:t>
      </w:r>
      <w:r w:rsidR="00A14A8B" w:rsidRPr="00A3267D">
        <w:rPr>
          <w:rFonts w:ascii="宋体" w:eastAsia="宋体" w:hAnsi="宋体" w:cs="Times New Roman"/>
          <w:szCs w:val="24"/>
          <w:lang w:eastAsia="zh-CN"/>
        </w:rPr>
        <w:t>、C(</w:t>
      </w:r>
      <m:oMath>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FR</m:t>
            </m:r>
          </m:e>
          <m:sub>
            <m:r>
              <m:rPr>
                <m:sty m:val="p"/>
              </m:rPr>
              <w:rPr>
                <w:rFonts w:ascii="Cambria Math" w:eastAsia="宋体" w:hAnsi="Cambria Math" w:cs="Times New Roman"/>
                <w:szCs w:val="24"/>
                <w:lang w:eastAsia="zh-CN"/>
              </w:rPr>
              <m:t>2i</m:t>
            </m:r>
          </m:sub>
        </m:sSub>
      </m:oMath>
      <w:r w:rsidR="00A14A8B" w:rsidRPr="00A3267D">
        <w:rPr>
          <w:rFonts w:ascii="宋体" w:eastAsia="宋体" w:hAnsi="宋体" w:cs="Times New Roman"/>
          <w:szCs w:val="24"/>
          <w:lang w:eastAsia="zh-CN"/>
        </w:rPr>
        <w:t>)=-</w:t>
      </w:r>
      <w:r w:rsidR="00A14A8B" w:rsidRPr="00A3267D">
        <w:rPr>
          <w:rFonts w:ascii="宋体" w:eastAsia="宋体" w:hAnsi="宋体" w:cs="Times New Roman" w:hint="eastAsia"/>
          <w:szCs w:val="24"/>
          <w:lang w:eastAsia="zh-CN"/>
        </w:rPr>
        <w:t>130126.62。</w:t>
      </w:r>
    </w:p>
    <w:p w14:paraId="41778E31" w14:textId="44D62BAF" w:rsidR="000C567C" w:rsidRPr="00A3267D" w:rsidRDefault="00BF2EFD" w:rsidP="000C567C">
      <w:pPr>
        <w:ind w:firstLine="480"/>
        <w:jc w:val="both"/>
        <w:rPr>
          <w:rFonts w:ascii="宋体" w:eastAsia="宋体" w:hAnsi="宋体" w:cs="Times New Roman"/>
          <w:szCs w:val="24"/>
          <w:lang w:eastAsia="zh-CN"/>
        </w:rPr>
      </w:pPr>
      <w:r w:rsidRPr="00A3267D">
        <w:rPr>
          <w:rFonts w:ascii="宋体" w:eastAsia="宋体" w:hAnsi="宋体" w:cs="Times New Roman" w:hint="eastAsia"/>
          <w:szCs w:val="24"/>
          <w:lang w:eastAsia="zh-CN"/>
        </w:rPr>
        <w:t>10</w:t>
      </w:r>
      <w:r w:rsidR="00E84E20" w:rsidRPr="00A3267D">
        <w:rPr>
          <w:rFonts w:ascii="宋体" w:eastAsia="宋体" w:hAnsi="宋体" w:cs="Times New Roman" w:hint="eastAsia"/>
          <w:szCs w:val="24"/>
          <w:lang w:eastAsia="zh-CN"/>
        </w:rPr>
        <w:t>）</w:t>
      </w:r>
      <w:r w:rsidR="007066E4" w:rsidRPr="00A3267D">
        <w:rPr>
          <w:rFonts w:ascii="Times New Roman" w:eastAsia="宋体" w:hAnsi="Times New Roman" w:cs="Times New Roman" w:hint="eastAsia"/>
          <w:spacing w:val="-3"/>
          <w:szCs w:val="24"/>
          <w:lang w:eastAsia="zh-CN"/>
        </w:rPr>
        <w:t>标准计算法</w:t>
      </w:r>
      <w:r w:rsidR="00E84E20" w:rsidRPr="00A3267D">
        <w:rPr>
          <w:rFonts w:ascii="宋体" w:eastAsia="宋体" w:hAnsi="宋体" w:cs="Times New Roman" w:hint="eastAsia"/>
          <w:szCs w:val="24"/>
          <w:lang w:eastAsia="zh-CN"/>
        </w:rPr>
        <w:t>合成</w:t>
      </w:r>
      <w:r w:rsidR="000C567C" w:rsidRPr="00A3267D">
        <w:rPr>
          <w:rFonts w:ascii="宋体" w:eastAsia="宋体" w:hAnsi="宋体" w:cs="Times New Roman" w:hint="eastAsia"/>
          <w:szCs w:val="24"/>
          <w:lang w:eastAsia="zh-CN"/>
        </w:rPr>
        <w:t>不确定度</w:t>
      </w:r>
      <w:r w:rsidR="004F5DB8" w:rsidRPr="00A3267D">
        <w:rPr>
          <w:rFonts w:ascii="宋体" w:eastAsia="宋体" w:hAnsi="宋体" w:cs="Times New Roman" w:hint="eastAsia"/>
          <w:szCs w:val="24"/>
          <w:lang w:eastAsia="zh-CN"/>
        </w:rPr>
        <w:t>和相对合扩展不确定度</w:t>
      </w:r>
    </w:p>
    <w:p w14:paraId="0CA16F45" w14:textId="5C237F98" w:rsidR="0035644F" w:rsidRPr="00A3267D" w:rsidRDefault="0035644F" w:rsidP="0035644F">
      <w:pPr>
        <w:ind w:firstLine="480"/>
        <w:rPr>
          <w:rFonts w:ascii="宋体" w:eastAsia="宋体" w:hAnsi="宋体" w:cs="Times New Roman"/>
          <w:szCs w:val="24"/>
          <w:lang w:eastAsia="zh-CN"/>
        </w:rPr>
      </w:pPr>
      <w:r w:rsidRPr="00A3267D">
        <w:rPr>
          <w:rFonts w:ascii="宋体" w:eastAsia="宋体" w:hAnsi="宋体" w:cs="Times New Roman" w:hint="eastAsia"/>
          <w:szCs w:val="24"/>
          <w:lang w:eastAsia="zh-CN"/>
        </w:rPr>
        <w:t>根据以上数据和标准中公式（</w:t>
      </w:r>
      <w:r w:rsidRPr="00A3267D">
        <w:rPr>
          <w:rFonts w:ascii="宋体" w:eastAsia="宋体" w:hAnsi="宋体" w:cs="Times New Roman"/>
          <w:szCs w:val="24"/>
          <w:lang w:eastAsia="zh-CN"/>
        </w:rPr>
        <w:t>1</w:t>
      </w:r>
      <w:r w:rsidRPr="00A3267D">
        <w:rPr>
          <w:rFonts w:ascii="宋体" w:eastAsia="宋体" w:hAnsi="宋体" w:cs="Times New Roman" w:hint="eastAsia"/>
          <w:szCs w:val="24"/>
          <w:lang w:eastAsia="zh-CN"/>
        </w:rPr>
        <w:t>8）计算</w:t>
      </w:r>
      <w:r w:rsidR="007066E4" w:rsidRPr="00A3267D">
        <w:rPr>
          <w:rFonts w:ascii="Times New Roman" w:eastAsia="宋体" w:hAnsi="Times New Roman" w:cs="Times New Roman" w:hint="eastAsia"/>
          <w:spacing w:val="-3"/>
          <w:szCs w:val="24"/>
          <w:lang w:eastAsia="zh-CN"/>
        </w:rPr>
        <w:t>标准计算法</w:t>
      </w:r>
      <w:r w:rsidRPr="00A3267D">
        <w:rPr>
          <w:rFonts w:ascii="宋体" w:eastAsia="宋体" w:hAnsi="宋体" w:cs="Times New Roman" w:hint="eastAsia"/>
          <w:szCs w:val="24"/>
          <w:lang w:eastAsia="zh-CN"/>
        </w:rPr>
        <w:t>合成</w:t>
      </w:r>
      <w:r w:rsidR="00D22F5B" w:rsidRPr="00A3267D">
        <w:rPr>
          <w:rFonts w:ascii="宋体" w:eastAsia="宋体" w:hAnsi="宋体" w:cs="Times New Roman" w:hint="eastAsia"/>
          <w:szCs w:val="24"/>
          <w:lang w:eastAsia="zh-CN"/>
        </w:rPr>
        <w:t>标准</w:t>
      </w:r>
      <w:r w:rsidRPr="00A3267D">
        <w:rPr>
          <w:rFonts w:ascii="宋体" w:eastAsia="宋体" w:hAnsi="宋体" w:cs="Times New Roman" w:hint="eastAsia"/>
          <w:szCs w:val="24"/>
          <w:lang w:eastAsia="zh-CN"/>
        </w:rPr>
        <w:t>不确定度</w:t>
      </w:r>
      <w:r w:rsidRPr="00A3267D">
        <w:rPr>
          <w:rFonts w:ascii="宋体" w:eastAsia="宋体" w:hAnsi="宋体" w:cs="Times New Roman"/>
          <w:szCs w:val="24"/>
          <w:lang w:eastAsia="zh-CN"/>
        </w:rPr>
        <w:t>uc(G</w:t>
      </w:r>
      <w:r w:rsidRPr="00A3267D">
        <w:rPr>
          <w:rFonts w:ascii="宋体" w:eastAsia="宋体" w:hAnsi="宋体" w:cs="Times New Roman" w:hint="eastAsia"/>
          <w:szCs w:val="24"/>
          <w:lang w:eastAsia="zh-CN"/>
        </w:rPr>
        <w:t>c</w:t>
      </w:r>
      <w:r w:rsidRPr="00A3267D">
        <w:rPr>
          <w:rFonts w:ascii="宋体" w:eastAsia="宋体" w:hAnsi="宋体" w:cs="Times New Roman"/>
          <w:szCs w:val="24"/>
          <w:lang w:eastAsia="zh-CN"/>
        </w:rPr>
        <w:t>)=</w:t>
      </w:r>
      <w:r w:rsidR="002C1C30" w:rsidRPr="00A3267D">
        <w:rPr>
          <w:rFonts w:ascii="宋体" w:eastAsia="宋体" w:hAnsi="宋体" w:cs="Times New Roman"/>
          <w:szCs w:val="24"/>
          <w:lang w:eastAsia="zh-CN"/>
        </w:rPr>
        <w:t xml:space="preserve"> 23707.</w:t>
      </w:r>
      <w:r w:rsidR="00B82629" w:rsidRPr="00A3267D">
        <w:rPr>
          <w:rFonts w:ascii="宋体" w:eastAsia="宋体" w:hAnsi="宋体" w:cs="Times New Roman" w:hint="eastAsia"/>
          <w:szCs w:val="24"/>
          <w:lang w:eastAsia="zh-CN"/>
        </w:rPr>
        <w:t>71</w:t>
      </w:r>
      <w:r w:rsidRPr="00A3267D">
        <w:rPr>
          <w:rFonts w:ascii="宋体" w:eastAsia="宋体" w:hAnsi="宋体" w:cs="Times New Roman"/>
          <w:szCs w:val="24"/>
          <w:lang w:eastAsia="zh-CN"/>
        </w:rPr>
        <w:t>t/</w:t>
      </w:r>
      <w:r w:rsidRPr="00A3267D">
        <w:rPr>
          <w:rFonts w:ascii="宋体" w:eastAsia="宋体" w:hAnsi="宋体" w:cs="Times New Roman" w:hint="eastAsia"/>
          <w:szCs w:val="24"/>
          <w:lang w:eastAsia="zh-CN"/>
        </w:rPr>
        <w:t>a</w:t>
      </w:r>
      <w:r w:rsidR="00D22F5B" w:rsidRPr="00A3267D">
        <w:rPr>
          <w:rFonts w:ascii="宋体" w:eastAsia="宋体" w:hAnsi="宋体" w:cs="Times New Roman" w:hint="eastAsia"/>
          <w:szCs w:val="24"/>
          <w:lang w:eastAsia="zh-CN"/>
        </w:rPr>
        <w:t>。</w:t>
      </w:r>
      <w:r w:rsidRPr="00A3267D">
        <w:rPr>
          <w:rFonts w:ascii="宋体" w:eastAsia="宋体" w:hAnsi="宋体" w:cs="Times New Roman" w:hint="eastAsia"/>
          <w:szCs w:val="24"/>
          <w:lang w:eastAsia="zh-CN"/>
        </w:rPr>
        <w:t>相对</w:t>
      </w:r>
      <w:r w:rsidR="00D22F5B" w:rsidRPr="00A3267D">
        <w:rPr>
          <w:rFonts w:ascii="宋体" w:eastAsia="宋体" w:hAnsi="宋体" w:cs="Times New Roman" w:hint="eastAsia"/>
          <w:szCs w:val="24"/>
          <w:lang w:eastAsia="zh-CN"/>
        </w:rPr>
        <w:t>标准</w:t>
      </w:r>
      <w:r w:rsidRPr="00A3267D">
        <w:rPr>
          <w:rFonts w:ascii="宋体" w:eastAsia="宋体" w:hAnsi="宋体" w:cs="Times New Roman" w:hint="eastAsia"/>
          <w:szCs w:val="24"/>
          <w:lang w:eastAsia="zh-CN"/>
        </w:rPr>
        <w:t>不确定度计算得</w:t>
      </w:r>
      <m:oMath>
        <m:r>
          <m:rPr>
            <m:sty m:val="p"/>
          </m:rPr>
          <w:rPr>
            <w:rFonts w:ascii="Cambria Math" w:eastAsia="宋体" w:hAnsi="Cambria Math" w:cs="Times New Roman" w:hint="eastAsia"/>
            <w:szCs w:val="24"/>
            <w:lang w:eastAsia="zh-CN"/>
          </w:rPr>
          <m:t>u(</m:t>
        </m:r>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E</m:t>
            </m:r>
          </m:e>
          <m:sub>
            <m:r>
              <m:rPr>
                <m:sty m:val="p"/>
              </m:rPr>
              <w:rPr>
                <w:rFonts w:ascii="Cambria Math" w:eastAsia="宋体" w:hAnsi="Cambria Math" w:cs="Times New Roman"/>
                <w:szCs w:val="24"/>
                <w:lang w:eastAsia="zh-CN"/>
              </w:rPr>
              <m:t>C</m:t>
            </m:r>
          </m:sub>
        </m:sSub>
        <m:r>
          <m:rPr>
            <m:sty m:val="p"/>
          </m:rPr>
          <w:rPr>
            <w:rFonts w:ascii="Cambria Math" w:eastAsia="宋体" w:hAnsi="Cambria Math" w:cs="Times New Roman" w:hint="eastAsia"/>
            <w:szCs w:val="24"/>
            <w:lang w:eastAsia="zh-CN"/>
          </w:rPr>
          <m:t>)</m:t>
        </m:r>
      </m:oMath>
      <w:r w:rsidRPr="00A3267D">
        <w:rPr>
          <w:rFonts w:ascii="宋体" w:eastAsia="宋体" w:hAnsi="宋体" w:cs="Times New Roman"/>
          <w:szCs w:val="24"/>
          <w:lang w:eastAsia="zh-CN"/>
        </w:rPr>
        <w:t>=</w:t>
      </w:r>
      <w:r w:rsidRPr="00A3267D">
        <w:rPr>
          <w:rFonts w:ascii="宋体" w:eastAsia="宋体" w:hAnsi="宋体" w:cs="Times New Roman" w:hint="eastAsia"/>
          <w:szCs w:val="24"/>
          <w:lang w:eastAsia="zh-CN"/>
        </w:rPr>
        <w:t xml:space="preserve"> </w:t>
      </w:r>
      <w:r w:rsidR="002C1C30" w:rsidRPr="00A3267D">
        <w:rPr>
          <w:rFonts w:ascii="宋体" w:eastAsia="宋体" w:hAnsi="宋体" w:cs="Times New Roman"/>
          <w:szCs w:val="24"/>
          <w:lang w:eastAsia="zh-CN"/>
        </w:rPr>
        <w:t>2.</w:t>
      </w:r>
      <w:r w:rsidR="00B82629" w:rsidRPr="00A3267D">
        <w:rPr>
          <w:rFonts w:ascii="宋体" w:eastAsia="宋体" w:hAnsi="宋体" w:cs="Times New Roman" w:hint="eastAsia"/>
          <w:szCs w:val="24"/>
          <w:lang w:eastAsia="zh-CN"/>
        </w:rPr>
        <w:t>68</w:t>
      </w:r>
      <w:r w:rsidRPr="00A3267D">
        <w:rPr>
          <w:rFonts w:ascii="宋体" w:eastAsia="宋体" w:hAnsi="宋体" w:cs="Times New Roman"/>
          <w:szCs w:val="24"/>
          <w:lang w:eastAsia="zh-CN"/>
        </w:rPr>
        <w:t>%</w:t>
      </w:r>
      <w:r w:rsidRPr="00A3267D">
        <w:rPr>
          <w:rFonts w:ascii="宋体" w:eastAsia="宋体" w:hAnsi="宋体" w:cs="Times New Roman" w:hint="eastAsia"/>
          <w:szCs w:val="24"/>
          <w:lang w:eastAsia="zh-CN"/>
        </w:rPr>
        <w:t>。取包含因子k=2，碳排放相对扩展不确定度为：</w:t>
      </w:r>
      <m:oMath>
        <m:r>
          <m:rPr>
            <m:sty m:val="p"/>
          </m:rPr>
          <w:rPr>
            <w:rFonts w:ascii="Cambria Math" w:eastAsia="宋体" w:hAnsi="Cambria Math" w:cs="Times New Roman"/>
            <w:szCs w:val="24"/>
            <w:lang w:eastAsia="zh-CN"/>
          </w:rPr>
          <m:t>U</m:t>
        </m:r>
        <m:r>
          <m:rPr>
            <m:sty m:val="p"/>
          </m:rPr>
          <w:rPr>
            <w:rFonts w:ascii="Cambria Math" w:eastAsia="宋体" w:hAnsi="Cambria Math" w:cs="Times New Roman" w:hint="eastAsia"/>
            <w:szCs w:val="24"/>
            <w:lang w:eastAsia="zh-CN"/>
          </w:rPr>
          <m:t>(</m:t>
        </m:r>
        <m:sSub>
          <m:sSubPr>
            <m:ctrlPr>
              <w:rPr>
                <w:rFonts w:ascii="Cambria Math" w:eastAsia="宋体" w:hAnsi="Cambria Math" w:cs="Times New Roman"/>
                <w:szCs w:val="24"/>
                <w:lang w:eastAsia="zh-CN"/>
              </w:rPr>
            </m:ctrlPr>
          </m:sSubPr>
          <m:e>
            <m:r>
              <m:rPr>
                <m:sty m:val="p"/>
              </m:rPr>
              <w:rPr>
                <w:rFonts w:ascii="Cambria Math" w:eastAsia="宋体" w:hAnsi="Cambria Math" w:cs="Times New Roman"/>
                <w:szCs w:val="24"/>
                <w:lang w:eastAsia="zh-CN"/>
              </w:rPr>
              <m:t>E</m:t>
            </m:r>
          </m:e>
          <m:sub>
            <m:r>
              <m:rPr>
                <m:sty m:val="p"/>
              </m:rPr>
              <w:rPr>
                <w:rFonts w:ascii="Cambria Math" w:eastAsia="宋体" w:hAnsi="Cambria Math" w:cs="Times New Roman"/>
                <w:szCs w:val="24"/>
                <w:lang w:eastAsia="zh-CN"/>
              </w:rPr>
              <m:t>C</m:t>
            </m:r>
          </m:sub>
        </m:sSub>
        <m:r>
          <m:rPr>
            <m:sty m:val="p"/>
          </m:rPr>
          <w:rPr>
            <w:rFonts w:ascii="Cambria Math" w:eastAsia="宋体" w:hAnsi="Cambria Math" w:cs="Times New Roman" w:hint="eastAsia"/>
            <w:szCs w:val="24"/>
            <w:lang w:eastAsia="zh-CN"/>
          </w:rPr>
          <m:t>)</m:t>
        </m:r>
      </m:oMath>
      <w:r w:rsidRPr="00A3267D">
        <w:rPr>
          <w:rFonts w:ascii="宋体" w:eastAsia="宋体" w:hAnsi="宋体" w:cs="Times New Roman"/>
          <w:szCs w:val="24"/>
          <w:lang w:eastAsia="zh-CN"/>
        </w:rPr>
        <w:t>=</w:t>
      </w:r>
      <w:r w:rsidR="002C1C30" w:rsidRPr="00A3267D">
        <w:rPr>
          <w:rFonts w:ascii="宋体" w:eastAsia="宋体" w:hAnsi="宋体" w:cs="Times New Roman"/>
          <w:szCs w:val="24"/>
          <w:lang w:eastAsia="zh-CN"/>
        </w:rPr>
        <w:t xml:space="preserve"> 5.</w:t>
      </w:r>
      <w:r w:rsidR="00B82629" w:rsidRPr="00A3267D">
        <w:rPr>
          <w:rFonts w:ascii="宋体" w:eastAsia="宋体" w:hAnsi="宋体" w:cs="Times New Roman" w:hint="eastAsia"/>
          <w:szCs w:val="24"/>
          <w:lang w:eastAsia="zh-CN"/>
        </w:rPr>
        <w:t>36</w:t>
      </w:r>
      <w:r w:rsidRPr="00A3267D">
        <w:rPr>
          <w:rFonts w:ascii="宋体" w:eastAsia="宋体" w:hAnsi="宋体" w:cs="Times New Roman"/>
          <w:szCs w:val="24"/>
          <w:lang w:eastAsia="zh-CN"/>
        </w:rPr>
        <w:t>%。</w:t>
      </w:r>
    </w:p>
    <w:p w14:paraId="175D4B01" w14:textId="6DF9CFB1" w:rsidR="00634DB9" w:rsidRPr="00A3267D" w:rsidRDefault="00FA79DD" w:rsidP="0035644F">
      <w:pPr>
        <w:ind w:firstLine="480"/>
        <w:jc w:val="both"/>
        <w:rPr>
          <w:rFonts w:ascii="黑体" w:eastAsia="黑体" w:hAnsi="黑体"/>
          <w:b/>
          <w:szCs w:val="24"/>
          <w:lang w:eastAsia="zh-CN"/>
        </w:rPr>
      </w:pPr>
      <w:r w:rsidRPr="00A3267D">
        <w:rPr>
          <w:rFonts w:ascii="黑体" w:eastAsia="黑体" w:hAnsi="黑体"/>
          <w:szCs w:val="24"/>
          <w:lang w:eastAsia="zh-CN"/>
        </w:rPr>
        <w:t>六</w:t>
      </w:r>
      <w:r w:rsidR="007B7ADF" w:rsidRPr="00A3267D">
        <w:rPr>
          <w:rFonts w:ascii="黑体" w:eastAsia="黑体" w:hAnsi="黑体"/>
          <w:szCs w:val="24"/>
          <w:lang w:eastAsia="zh-CN"/>
        </w:rPr>
        <w:t>、与国内外标准、规程规范等技术文件的兼容情况</w:t>
      </w:r>
    </w:p>
    <w:p w14:paraId="45A58F32" w14:textId="6756BC3A" w:rsidR="003F37DF" w:rsidRPr="00A3267D" w:rsidRDefault="00D974BC" w:rsidP="002836D7">
      <w:pPr>
        <w:ind w:firstLine="474"/>
        <w:jc w:val="both"/>
        <w:rPr>
          <w:rFonts w:ascii="宋体" w:eastAsia="宋体" w:hAnsi="宋体" w:cs="Times New Roman"/>
          <w:spacing w:val="-3"/>
          <w:szCs w:val="24"/>
          <w:lang w:eastAsia="zh-CN"/>
        </w:rPr>
      </w:pPr>
      <w:r w:rsidRPr="00A3267D">
        <w:rPr>
          <w:rFonts w:ascii="宋体" w:eastAsia="宋体" w:hAnsi="宋体" w:cs="Times New Roman"/>
          <w:spacing w:val="-3"/>
          <w:szCs w:val="24"/>
          <w:lang w:eastAsia="zh-CN"/>
        </w:rPr>
        <w:t>本规范的</w:t>
      </w:r>
      <w:r w:rsidR="00D76BFB" w:rsidRPr="00A3267D">
        <w:rPr>
          <w:rFonts w:ascii="宋体" w:eastAsia="宋体" w:hAnsi="宋体" w:cs="Times New Roman"/>
          <w:spacing w:val="-3"/>
          <w:szCs w:val="24"/>
          <w:lang w:eastAsia="zh-CN"/>
        </w:rPr>
        <w:t>术语、定义</w:t>
      </w:r>
      <w:r w:rsidR="00446319" w:rsidRPr="00A3267D">
        <w:rPr>
          <w:rFonts w:ascii="宋体" w:eastAsia="宋体" w:hAnsi="宋体" w:cs="Times New Roman"/>
          <w:spacing w:val="-3"/>
          <w:szCs w:val="24"/>
          <w:lang w:eastAsia="zh-CN"/>
        </w:rPr>
        <w:t>主要</w:t>
      </w:r>
      <w:r w:rsidR="00D76BFB" w:rsidRPr="00A3267D">
        <w:rPr>
          <w:rFonts w:ascii="宋体" w:eastAsia="宋体" w:hAnsi="宋体" w:cs="Times New Roman"/>
          <w:spacing w:val="-3"/>
          <w:szCs w:val="24"/>
          <w:lang w:eastAsia="zh-CN"/>
        </w:rPr>
        <w:t>参考了</w:t>
      </w:r>
      <w:r w:rsidR="00EF6691" w:rsidRPr="00A3267D">
        <w:rPr>
          <w:rFonts w:ascii="宋体" w:eastAsia="宋体" w:hAnsi="宋体" w:cs="Times New Roman" w:hint="eastAsia"/>
          <w:spacing w:val="-3"/>
          <w:szCs w:val="24"/>
          <w:lang w:eastAsia="zh-CN"/>
        </w:rPr>
        <w:t>《企业温室气体排放核算与报告指南 水泥行业》（CETS-AG-02.01-V01-2024）</w:t>
      </w:r>
      <w:r w:rsidR="007E0CE1" w:rsidRPr="00A3267D">
        <w:rPr>
          <w:rFonts w:ascii="宋体" w:eastAsia="宋体" w:hAnsi="宋体" w:cs="Times New Roman"/>
          <w:spacing w:val="-3"/>
          <w:szCs w:val="24"/>
          <w:lang w:eastAsia="zh-CN"/>
        </w:rPr>
        <w:t>、</w:t>
      </w:r>
      <w:r w:rsidR="0043509D" w:rsidRPr="00A3267D">
        <w:rPr>
          <w:rFonts w:ascii="宋体" w:eastAsia="宋体" w:hAnsi="宋体" w:cs="Times New Roman" w:hint="eastAsia"/>
          <w:spacing w:val="-3"/>
          <w:szCs w:val="24"/>
          <w:lang w:eastAsia="zh-CN"/>
        </w:rPr>
        <w:t>《测量不确定度评定和表示》（GB/T 27418）、</w:t>
      </w:r>
      <w:r w:rsidR="007E0CE1" w:rsidRPr="00A3267D">
        <w:rPr>
          <w:rFonts w:ascii="宋体" w:eastAsia="宋体" w:hAnsi="宋体" w:cs="Times New Roman"/>
          <w:spacing w:val="-3"/>
          <w:szCs w:val="24"/>
          <w:lang w:eastAsia="zh-CN"/>
        </w:rPr>
        <w:t>《碳排放核算与报告要求第8部分：水泥生产企业》</w:t>
      </w:r>
      <w:r w:rsidR="0043509D" w:rsidRPr="00A3267D">
        <w:rPr>
          <w:rFonts w:ascii="宋体" w:eastAsia="宋体" w:hAnsi="宋体" w:cs="Times New Roman"/>
          <w:spacing w:val="-3"/>
          <w:szCs w:val="24"/>
          <w:lang w:eastAsia="zh-CN"/>
        </w:rPr>
        <w:t>（GB/T 32151.8）、</w:t>
      </w:r>
      <w:r w:rsidR="0043509D" w:rsidRPr="00A3267D">
        <w:rPr>
          <w:rFonts w:ascii="宋体" w:eastAsia="宋体" w:hAnsi="宋体" w:cs="Times New Roman" w:hint="eastAsia"/>
          <w:spacing w:val="-3"/>
          <w:szCs w:val="24"/>
          <w:lang w:eastAsia="zh-CN"/>
        </w:rPr>
        <w:t>《测量不确定度评定与表示》（JJF 1059.1）</w:t>
      </w:r>
      <w:r w:rsidR="00E23A3E" w:rsidRPr="00A3267D">
        <w:rPr>
          <w:rFonts w:ascii="宋体" w:eastAsia="宋体" w:hAnsi="宋体" w:cs="Times New Roman"/>
          <w:spacing w:val="-3"/>
          <w:szCs w:val="24"/>
          <w:lang w:eastAsia="zh-CN"/>
        </w:rPr>
        <w:t>，</w:t>
      </w:r>
      <w:r w:rsidR="00446319" w:rsidRPr="00A3267D">
        <w:rPr>
          <w:rFonts w:ascii="宋体" w:eastAsia="宋体" w:hAnsi="宋体" w:cs="Times New Roman"/>
          <w:spacing w:val="-3"/>
          <w:szCs w:val="24"/>
          <w:lang w:eastAsia="zh-CN"/>
        </w:rPr>
        <w:t>且与上述</w:t>
      </w:r>
      <w:r w:rsidR="00E23A3E" w:rsidRPr="00A3267D">
        <w:rPr>
          <w:rFonts w:ascii="宋体" w:eastAsia="宋体" w:hAnsi="宋体" w:cs="Times New Roman"/>
          <w:spacing w:val="-3"/>
          <w:szCs w:val="24"/>
          <w:lang w:eastAsia="zh-CN"/>
        </w:rPr>
        <w:t>标准保持一致。</w:t>
      </w:r>
      <w:r w:rsidR="00170C60" w:rsidRPr="00A3267D">
        <w:rPr>
          <w:rFonts w:ascii="宋体" w:eastAsia="宋体" w:hAnsi="宋体" w:cs="Times New Roman" w:hint="eastAsia"/>
          <w:spacing w:val="-3"/>
          <w:szCs w:val="24"/>
          <w:lang w:eastAsia="zh-CN"/>
        </w:rPr>
        <w:t>计量学中不确定度的模型建立与评定方法原则也与</w:t>
      </w:r>
      <w:r w:rsidR="00170C60" w:rsidRPr="00A3267D">
        <w:rPr>
          <w:rFonts w:ascii="宋体" w:eastAsia="宋体" w:hAnsi="宋体" w:cs="Times New Roman"/>
          <w:spacing w:val="-3"/>
          <w:szCs w:val="24"/>
          <w:lang w:eastAsia="zh-CN"/>
        </w:rPr>
        <w:t>上述标准基本一致。国外标准主要参考了</w:t>
      </w:r>
      <w:r w:rsidR="00170C60" w:rsidRPr="00A3267D">
        <w:rPr>
          <w:rFonts w:ascii="宋体" w:eastAsia="宋体" w:hAnsi="宋体" w:cs="Times New Roman" w:hint="eastAsia"/>
          <w:spacing w:val="-3"/>
          <w:szCs w:val="24"/>
          <w:lang w:eastAsia="zh-CN"/>
        </w:rPr>
        <w:t>ISO 14064 系列标准</w:t>
      </w:r>
      <w:r w:rsidR="00C65E14" w:rsidRPr="00A3267D">
        <w:rPr>
          <w:rFonts w:ascii="宋体" w:eastAsia="宋体" w:hAnsi="宋体" w:cs="Times New Roman" w:hint="eastAsia"/>
          <w:spacing w:val="-3"/>
          <w:szCs w:val="24"/>
          <w:lang w:eastAsia="zh-CN"/>
        </w:rPr>
        <w:t>、</w:t>
      </w:r>
      <w:r w:rsidR="00CF6E65" w:rsidRPr="00A3267D">
        <w:rPr>
          <w:rFonts w:ascii="宋体" w:eastAsia="宋体" w:hAnsi="宋体" w:cs="宋体" w:hint="eastAsia"/>
          <w:spacing w:val="-3"/>
          <w:szCs w:val="24"/>
          <w:lang w:eastAsia="zh-CN"/>
        </w:rPr>
        <w:t>IPCC国家温室气体清单指南</w:t>
      </w:r>
      <w:r w:rsidR="00C65E14" w:rsidRPr="00A3267D">
        <w:rPr>
          <w:rFonts w:ascii="宋体" w:eastAsia="宋体" w:hAnsi="宋体" w:cs="宋体" w:hint="eastAsia"/>
          <w:spacing w:val="-3"/>
          <w:szCs w:val="24"/>
          <w:lang w:eastAsia="zh-CN"/>
        </w:rPr>
        <w:t>、I</w:t>
      </w:r>
      <w:r w:rsidR="00C65E14" w:rsidRPr="00A3267D">
        <w:rPr>
          <w:rFonts w:ascii="宋体" w:eastAsia="宋体" w:hAnsi="宋体" w:cs="宋体"/>
          <w:spacing w:val="-3"/>
          <w:szCs w:val="24"/>
          <w:lang w:eastAsia="zh-CN"/>
        </w:rPr>
        <w:t>SO</w:t>
      </w:r>
      <w:r w:rsidR="00C65E14" w:rsidRPr="00A3267D">
        <w:rPr>
          <w:rFonts w:ascii="宋体" w:eastAsia="宋体" w:hAnsi="宋体" w:cs="宋体" w:hint="eastAsia"/>
          <w:spacing w:val="-3"/>
          <w:szCs w:val="24"/>
          <w:lang w:eastAsia="zh-CN"/>
        </w:rPr>
        <w:t>《测定不确定度表示指南》（J</w:t>
      </w:r>
      <w:r w:rsidR="00C65E14" w:rsidRPr="00A3267D">
        <w:rPr>
          <w:rFonts w:ascii="宋体" w:eastAsia="宋体" w:hAnsi="宋体" w:cs="宋体"/>
          <w:spacing w:val="-3"/>
          <w:szCs w:val="24"/>
          <w:lang w:eastAsia="zh-CN"/>
        </w:rPr>
        <w:t>CGM 100:2008</w:t>
      </w:r>
      <w:r w:rsidR="00C65E14" w:rsidRPr="00A3267D">
        <w:rPr>
          <w:rFonts w:ascii="宋体" w:eastAsia="宋体" w:hAnsi="宋体" w:cs="宋体" w:hint="eastAsia"/>
          <w:spacing w:val="-3"/>
          <w:szCs w:val="24"/>
          <w:lang w:eastAsia="zh-CN"/>
        </w:rPr>
        <w:t>）</w:t>
      </w:r>
      <w:r w:rsidR="00CF6E65" w:rsidRPr="00A3267D">
        <w:rPr>
          <w:rFonts w:ascii="宋体" w:eastAsia="宋体" w:hAnsi="宋体" w:cs="Times New Roman" w:hint="eastAsia"/>
          <w:spacing w:val="-3"/>
          <w:szCs w:val="24"/>
          <w:lang w:eastAsia="zh-CN"/>
        </w:rPr>
        <w:t>的内容</w:t>
      </w:r>
      <w:r w:rsidR="00170C60" w:rsidRPr="00A3267D">
        <w:rPr>
          <w:rFonts w:ascii="宋体" w:eastAsia="宋体" w:hAnsi="宋体" w:cs="Times New Roman" w:hint="eastAsia"/>
          <w:spacing w:val="-3"/>
          <w:szCs w:val="24"/>
          <w:lang w:eastAsia="zh-CN"/>
        </w:rPr>
        <w:t>，</w:t>
      </w:r>
      <w:r w:rsidR="00C65E14" w:rsidRPr="00A3267D">
        <w:rPr>
          <w:rFonts w:asciiTheme="minorEastAsia" w:hAnsiTheme="minorEastAsia" w:cs="Times New Roman" w:hint="eastAsia"/>
          <w:spacing w:val="-3"/>
          <w:szCs w:val="24"/>
          <w:lang w:eastAsia="zh-CN"/>
        </w:rPr>
        <w:t>同时也参考了欧盟碳排放交易体系</w:t>
      </w:r>
      <w:r w:rsidR="00075367" w:rsidRPr="00A3267D">
        <w:rPr>
          <w:rFonts w:asciiTheme="minorEastAsia" w:hAnsiTheme="minorEastAsia" w:cs="Times New Roman" w:hint="eastAsia"/>
          <w:spacing w:val="-3"/>
          <w:szCs w:val="24"/>
          <w:lang w:eastAsia="zh-CN"/>
        </w:rPr>
        <w:t>《监测与报告条例》中</w:t>
      </w:r>
      <w:r w:rsidR="00C65E14" w:rsidRPr="00A3267D">
        <w:rPr>
          <w:rFonts w:asciiTheme="minorEastAsia" w:hAnsiTheme="minorEastAsia" w:cs="Times New Roman" w:hint="eastAsia"/>
          <w:spacing w:val="-3"/>
          <w:szCs w:val="24"/>
          <w:lang w:eastAsia="zh-CN"/>
        </w:rPr>
        <w:t>对层及不确定度阈值合规性证明的要求,</w:t>
      </w:r>
      <w:r w:rsidR="00170C60" w:rsidRPr="00A3267D">
        <w:rPr>
          <w:rFonts w:ascii="宋体" w:eastAsia="宋体" w:hAnsi="宋体" w:cs="Times New Roman" w:hint="eastAsia"/>
          <w:spacing w:val="-3"/>
          <w:szCs w:val="24"/>
          <w:lang w:eastAsia="zh-CN"/>
        </w:rPr>
        <w:t>本规范与其协调一致。</w:t>
      </w:r>
    </w:p>
    <w:p w14:paraId="0467C4E3" w14:textId="23159CB8" w:rsidR="00634DB9" w:rsidRPr="00A3267D" w:rsidRDefault="00FA79DD" w:rsidP="00924D51">
      <w:pPr>
        <w:pStyle w:val="1"/>
        <w:spacing w:before="0" w:after="0" w:line="360" w:lineRule="auto"/>
        <w:ind w:firstLine="480"/>
        <w:jc w:val="both"/>
        <w:rPr>
          <w:rFonts w:ascii="黑体" w:eastAsia="黑体" w:hAnsi="黑体"/>
          <w:b w:val="0"/>
          <w:spacing w:val="-3"/>
          <w:sz w:val="24"/>
          <w:szCs w:val="24"/>
          <w:lang w:eastAsia="zh-CN"/>
        </w:rPr>
      </w:pPr>
      <w:r w:rsidRPr="00A3267D">
        <w:rPr>
          <w:rFonts w:ascii="黑体" w:eastAsia="黑体" w:hAnsi="黑体"/>
          <w:b w:val="0"/>
          <w:sz w:val="24"/>
          <w:szCs w:val="24"/>
          <w:lang w:eastAsia="zh-CN"/>
        </w:rPr>
        <w:t>七</w:t>
      </w:r>
      <w:r w:rsidR="007B7ADF" w:rsidRPr="00A3267D">
        <w:rPr>
          <w:rFonts w:ascii="黑体" w:eastAsia="黑体" w:hAnsi="黑体"/>
          <w:b w:val="0"/>
          <w:sz w:val="24"/>
          <w:szCs w:val="24"/>
          <w:lang w:eastAsia="zh-CN"/>
        </w:rPr>
        <w:t>、风险评估及社会经济效益（实施规程的风险评估、对经济社会发展可能产生的影响、贯彻实施规程的要求、措施等建议）</w:t>
      </w:r>
    </w:p>
    <w:p w14:paraId="667BF0BE" w14:textId="057FED3E" w:rsidR="004D3343" w:rsidRPr="00A3267D" w:rsidRDefault="008D5F6F" w:rsidP="002836D7">
      <w:pPr>
        <w:spacing w:line="358" w:lineRule="auto"/>
        <w:ind w:left="23" w:right="11" w:firstLine="474"/>
        <w:jc w:val="both"/>
        <w:rPr>
          <w:rFonts w:ascii="宋体" w:eastAsia="宋体" w:hAnsi="宋体" w:cs="Times New Roman"/>
          <w:spacing w:val="-3"/>
          <w:szCs w:val="24"/>
          <w:lang w:eastAsia="zh-CN"/>
        </w:rPr>
      </w:pPr>
      <w:r w:rsidRPr="00A3267D">
        <w:rPr>
          <w:rFonts w:ascii="宋体" w:eastAsia="宋体" w:hAnsi="宋体" w:cs="Times New Roman" w:hint="eastAsia"/>
          <w:spacing w:val="-3"/>
          <w:szCs w:val="24"/>
          <w:lang w:eastAsia="zh-CN"/>
        </w:rPr>
        <w:t>国内目前还未系统建立建材行业的不确定度评定方法，参考欧盟经验，欧盟已建立</w:t>
      </w:r>
      <w:r w:rsidR="001D4F76" w:rsidRPr="00A3267D">
        <w:rPr>
          <w:rFonts w:ascii="宋体" w:eastAsia="宋体" w:hAnsi="宋体" w:cs="Times New Roman" w:hint="eastAsia"/>
          <w:spacing w:val="-3"/>
          <w:szCs w:val="24"/>
          <w:lang w:eastAsia="zh-CN"/>
        </w:rPr>
        <w:t>了完备的</w:t>
      </w:r>
      <w:r w:rsidRPr="00A3267D">
        <w:rPr>
          <w:rFonts w:ascii="宋体" w:eastAsia="宋体" w:hAnsi="宋体" w:cs="Times New Roman" w:hint="eastAsia"/>
          <w:spacing w:val="-3"/>
          <w:szCs w:val="24"/>
          <w:lang w:eastAsia="zh-CN"/>
        </w:rPr>
        <w:t>不确定度管理制度，且对直测法的系统不确定度和</w:t>
      </w:r>
      <w:r w:rsidR="00FD5281" w:rsidRPr="00A3267D">
        <w:rPr>
          <w:rFonts w:ascii="Times New Roman" w:eastAsia="宋体" w:hAnsi="Times New Roman" w:cs="Times New Roman" w:hint="eastAsia"/>
          <w:spacing w:val="-3"/>
          <w:szCs w:val="24"/>
          <w:lang w:eastAsia="zh-CN"/>
        </w:rPr>
        <w:t>标准计算法</w:t>
      </w:r>
      <w:r w:rsidRPr="00A3267D">
        <w:rPr>
          <w:rFonts w:ascii="宋体" w:eastAsia="宋体" w:hAnsi="宋体" w:cs="Times New Roman" w:hint="eastAsia"/>
          <w:spacing w:val="-3"/>
          <w:szCs w:val="24"/>
          <w:lang w:eastAsia="zh-CN"/>
        </w:rPr>
        <w:t>的各活动数据、排放因子的不确定度进行监管层级分级管理，根据总的排放量和主要排放源分别进行级别划分。本文件中不确定度评定方法中直测法基于系统整体的不确定度进行评定，</w:t>
      </w:r>
      <w:r w:rsidR="00FD5281" w:rsidRPr="00A3267D">
        <w:rPr>
          <w:rFonts w:ascii="Times New Roman" w:eastAsia="宋体" w:hAnsi="Times New Roman" w:cs="Times New Roman" w:hint="eastAsia"/>
          <w:spacing w:val="-3"/>
          <w:szCs w:val="24"/>
          <w:lang w:eastAsia="zh-CN"/>
        </w:rPr>
        <w:t>标准计算法</w:t>
      </w:r>
      <w:r w:rsidRPr="00A3267D">
        <w:rPr>
          <w:rFonts w:ascii="宋体" w:eastAsia="宋体" w:hAnsi="宋体" w:cs="Times New Roman" w:hint="eastAsia"/>
          <w:spacing w:val="-3"/>
          <w:szCs w:val="24"/>
          <w:lang w:eastAsia="zh-CN"/>
        </w:rPr>
        <w:t>基于生产工序中主要的排放源</w:t>
      </w:r>
      <w:r w:rsidR="00D96873" w:rsidRPr="00A3267D">
        <w:rPr>
          <w:rFonts w:ascii="宋体" w:eastAsia="宋体" w:hAnsi="宋体" w:cs="Times New Roman" w:hint="eastAsia"/>
          <w:spacing w:val="-3"/>
          <w:szCs w:val="24"/>
          <w:lang w:eastAsia="zh-CN"/>
        </w:rPr>
        <w:t>和系统整体的不确定度</w:t>
      </w:r>
      <w:r w:rsidRPr="00A3267D">
        <w:rPr>
          <w:rFonts w:ascii="宋体" w:eastAsia="宋体" w:hAnsi="宋体" w:cs="Times New Roman" w:hint="eastAsia"/>
          <w:spacing w:val="-3"/>
          <w:szCs w:val="24"/>
          <w:lang w:eastAsia="zh-CN"/>
        </w:rPr>
        <w:t>进行评定，</w:t>
      </w:r>
      <w:r w:rsidR="009E0D47" w:rsidRPr="00A3267D">
        <w:rPr>
          <w:rFonts w:ascii="宋体" w:eastAsia="宋体" w:hAnsi="宋体" w:cs="Times New Roman" w:hint="eastAsia"/>
          <w:spacing w:val="-3"/>
          <w:szCs w:val="24"/>
          <w:lang w:eastAsia="zh-CN"/>
        </w:rPr>
        <w:t>同时抓大放小，</w:t>
      </w:r>
      <w:r w:rsidRPr="00A3267D">
        <w:rPr>
          <w:rFonts w:ascii="宋体" w:eastAsia="宋体" w:hAnsi="宋体" w:cs="Times New Roman" w:hint="eastAsia"/>
          <w:spacing w:val="-3"/>
          <w:szCs w:val="24"/>
          <w:lang w:eastAsia="zh-CN"/>
        </w:rPr>
        <w:t>具有可操作性。</w:t>
      </w:r>
    </w:p>
    <w:p w14:paraId="248CFB27" w14:textId="138D4084" w:rsidR="006B2C3F" w:rsidRPr="00A3267D" w:rsidRDefault="0056499C" w:rsidP="002836D7">
      <w:pPr>
        <w:spacing w:line="358" w:lineRule="auto"/>
        <w:ind w:left="23" w:right="11" w:firstLine="474"/>
        <w:jc w:val="both"/>
        <w:rPr>
          <w:rFonts w:ascii="宋体" w:eastAsia="宋体" w:hAnsi="宋体" w:cs="Times New Roman"/>
          <w:spacing w:val="-3"/>
          <w:szCs w:val="24"/>
          <w:lang w:eastAsia="zh-CN"/>
        </w:rPr>
      </w:pPr>
      <w:r w:rsidRPr="00A3267D">
        <w:rPr>
          <w:rFonts w:ascii="宋体" w:eastAsia="宋体" w:hAnsi="宋体" w:cs="Times New Roman"/>
          <w:spacing w:val="-3"/>
          <w:szCs w:val="24"/>
          <w:lang w:eastAsia="zh-CN"/>
        </w:rPr>
        <w:t>本规范</w:t>
      </w:r>
      <w:r w:rsidR="00F251BD" w:rsidRPr="00A3267D">
        <w:rPr>
          <w:rFonts w:ascii="宋体" w:eastAsia="宋体" w:hAnsi="宋体" w:cs="Times New Roman"/>
          <w:spacing w:val="-3"/>
          <w:szCs w:val="24"/>
          <w:lang w:eastAsia="zh-CN"/>
        </w:rPr>
        <w:t>为</w:t>
      </w:r>
      <w:r w:rsidR="006B2C3F" w:rsidRPr="00A3267D">
        <w:rPr>
          <w:rFonts w:ascii="宋体" w:eastAsia="宋体" w:hAnsi="宋体" w:cs="Times New Roman"/>
          <w:spacing w:val="-3"/>
          <w:szCs w:val="24"/>
          <w:lang w:eastAsia="zh-CN"/>
        </w:rPr>
        <w:t>水泥行业直测法与</w:t>
      </w:r>
      <w:r w:rsidR="00FD5281" w:rsidRPr="00A3267D">
        <w:rPr>
          <w:rFonts w:ascii="Times New Roman" w:eastAsia="宋体" w:hAnsi="Times New Roman" w:cs="Times New Roman" w:hint="eastAsia"/>
          <w:spacing w:val="-3"/>
          <w:szCs w:val="24"/>
          <w:lang w:eastAsia="zh-CN"/>
        </w:rPr>
        <w:t>标准计算法</w:t>
      </w:r>
      <w:r w:rsidR="006B2C3F" w:rsidRPr="00A3267D">
        <w:rPr>
          <w:rFonts w:ascii="宋体" w:eastAsia="宋体" w:hAnsi="宋体" w:cs="Times New Roman"/>
          <w:spacing w:val="-3"/>
          <w:szCs w:val="24"/>
          <w:lang w:eastAsia="zh-CN"/>
        </w:rPr>
        <w:t>的碳排放数据不确定度评定提出了具体的评定方法，</w:t>
      </w:r>
      <w:r w:rsidR="009E0D47" w:rsidRPr="00A3267D">
        <w:rPr>
          <w:rFonts w:ascii="宋体" w:eastAsia="宋体" w:hAnsi="宋体" w:cs="Times New Roman" w:hint="eastAsia"/>
          <w:spacing w:val="-3"/>
          <w:szCs w:val="24"/>
          <w:lang w:eastAsia="zh-CN"/>
        </w:rPr>
        <w:t>应用国际通行</w:t>
      </w:r>
      <w:r w:rsidR="00A650FB" w:rsidRPr="00A3267D">
        <w:rPr>
          <w:rFonts w:ascii="宋体" w:eastAsia="宋体" w:hAnsi="宋体" w:cs="Times New Roman" w:hint="eastAsia"/>
          <w:spacing w:val="-3"/>
          <w:szCs w:val="24"/>
          <w:lang w:eastAsia="zh-CN"/>
        </w:rPr>
        <w:t>的不确定度评定方法</w:t>
      </w:r>
      <w:r w:rsidR="009E0D47" w:rsidRPr="00A3267D">
        <w:rPr>
          <w:rFonts w:ascii="宋体" w:eastAsia="宋体" w:hAnsi="宋体" w:cs="Times New Roman" w:hint="eastAsia"/>
          <w:spacing w:val="-3"/>
          <w:szCs w:val="24"/>
          <w:lang w:eastAsia="zh-CN"/>
        </w:rPr>
        <w:t>，</w:t>
      </w:r>
      <w:r w:rsidR="005A0845" w:rsidRPr="00A3267D">
        <w:rPr>
          <w:rFonts w:ascii="宋体" w:eastAsia="宋体" w:hAnsi="宋体" w:cs="Times New Roman" w:hint="eastAsia"/>
          <w:spacing w:val="-3"/>
          <w:szCs w:val="24"/>
          <w:lang w:eastAsia="zh-CN"/>
        </w:rPr>
        <w:t>通过对两种方法的不确定度评定，可识别和量化在获取碳排放量中可能存在的误差来源，有针对性的提高对应数据准确性，</w:t>
      </w:r>
      <w:r w:rsidR="00A650FB" w:rsidRPr="00A3267D">
        <w:rPr>
          <w:rFonts w:ascii="宋体" w:eastAsia="宋体" w:hAnsi="宋体" w:cs="Times New Roman" w:hint="eastAsia"/>
          <w:spacing w:val="-3"/>
          <w:szCs w:val="24"/>
          <w:lang w:eastAsia="zh-CN"/>
        </w:rPr>
        <w:t>完善数据质量评价体系，</w:t>
      </w:r>
      <w:r w:rsidR="005A0845" w:rsidRPr="00A3267D">
        <w:rPr>
          <w:rFonts w:ascii="宋体" w:eastAsia="宋体" w:hAnsi="宋体" w:cs="Times New Roman" w:hint="eastAsia"/>
          <w:spacing w:val="-3"/>
          <w:szCs w:val="24"/>
          <w:lang w:eastAsia="zh-CN"/>
        </w:rPr>
        <w:t>以夯实碳排放数据质量基础，支撑水泥行业碳达峰、碳中和目标的实现，具有积极的意义。</w:t>
      </w:r>
    </w:p>
    <w:p w14:paraId="3507EAAD" w14:textId="77777777" w:rsidR="00FA79DD" w:rsidRPr="00A3267D" w:rsidRDefault="00FA79DD" w:rsidP="00924D51">
      <w:pPr>
        <w:pStyle w:val="1"/>
        <w:spacing w:before="0" w:after="0" w:line="360" w:lineRule="auto"/>
        <w:ind w:firstLine="480"/>
        <w:jc w:val="both"/>
        <w:rPr>
          <w:rFonts w:ascii="黑体" w:eastAsia="黑体" w:hAnsi="黑体"/>
          <w:b w:val="0"/>
          <w:spacing w:val="5"/>
          <w:sz w:val="24"/>
          <w:szCs w:val="24"/>
          <w:lang w:eastAsia="zh-CN"/>
        </w:rPr>
      </w:pPr>
      <w:r w:rsidRPr="00A3267D">
        <w:rPr>
          <w:rFonts w:ascii="黑体" w:eastAsia="黑体" w:hAnsi="黑体"/>
          <w:b w:val="0"/>
          <w:sz w:val="24"/>
          <w:szCs w:val="24"/>
          <w:lang w:eastAsia="zh-CN"/>
        </w:rPr>
        <w:lastRenderedPageBreak/>
        <w:t>八</w:t>
      </w:r>
      <w:r w:rsidR="007B7ADF" w:rsidRPr="00A3267D">
        <w:rPr>
          <w:rFonts w:ascii="黑体" w:eastAsia="黑体" w:hAnsi="黑体"/>
          <w:b w:val="0"/>
          <w:sz w:val="24"/>
          <w:szCs w:val="24"/>
          <w:lang w:eastAsia="zh-CN"/>
        </w:rPr>
        <w:t>、其它说明的事项（如涉及的必要专利信息等）</w:t>
      </w:r>
      <w:r w:rsidR="007B7ADF" w:rsidRPr="00A3267D">
        <w:rPr>
          <w:rFonts w:ascii="黑体" w:eastAsia="黑体" w:hAnsi="黑体"/>
          <w:b w:val="0"/>
          <w:spacing w:val="5"/>
          <w:sz w:val="24"/>
          <w:szCs w:val="24"/>
          <w:lang w:eastAsia="zh-CN"/>
        </w:rPr>
        <w:t xml:space="preserve"> </w:t>
      </w:r>
    </w:p>
    <w:p w14:paraId="0BC2BA27" w14:textId="01925C12" w:rsidR="00634DB9" w:rsidRPr="000D41C8" w:rsidRDefault="007B7ADF" w:rsidP="00924D51">
      <w:pPr>
        <w:spacing w:before="115" w:line="522" w:lineRule="auto"/>
        <w:ind w:right="2589" w:firstLine="480"/>
        <w:jc w:val="both"/>
        <w:rPr>
          <w:rFonts w:ascii="宋体" w:eastAsia="宋体" w:hAnsi="宋体" w:cs="Times New Roman"/>
          <w:szCs w:val="24"/>
          <w:lang w:eastAsia="zh-CN"/>
        </w:rPr>
      </w:pPr>
      <w:r w:rsidRPr="00A3267D">
        <w:rPr>
          <w:rFonts w:ascii="宋体" w:eastAsia="宋体" w:hAnsi="宋体" w:cs="Times New Roman"/>
          <w:szCs w:val="24"/>
          <w:lang w:eastAsia="zh-CN"/>
        </w:rPr>
        <w:t>无</w:t>
      </w:r>
      <w:r w:rsidR="00F4073D" w:rsidRPr="00A3267D">
        <w:rPr>
          <w:rFonts w:ascii="宋体" w:eastAsia="宋体" w:hAnsi="宋体" w:cs="Times New Roman" w:hint="eastAsia"/>
          <w:szCs w:val="24"/>
          <w:lang w:eastAsia="zh-CN"/>
        </w:rPr>
        <w:t>。</w:t>
      </w:r>
    </w:p>
    <w:sectPr w:rsidR="00634DB9" w:rsidRPr="000D41C8" w:rsidSect="00D47266">
      <w:headerReference w:type="default" r:id="rId14"/>
      <w:footerReference w:type="default" r:id="rId15"/>
      <w:pgSz w:w="11906" w:h="16839"/>
      <w:pgMar w:top="1091" w:right="1785" w:bottom="1314" w:left="1785" w:header="863" w:footer="110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DDC6A" w14:textId="77777777" w:rsidR="008F74D4" w:rsidRDefault="008F74D4" w:rsidP="00621EA2">
      <w:pPr>
        <w:ind w:firstLine="480"/>
      </w:pPr>
      <w:r>
        <w:separator/>
      </w:r>
    </w:p>
  </w:endnote>
  <w:endnote w:type="continuationSeparator" w:id="0">
    <w:p w14:paraId="57DD9072" w14:textId="77777777" w:rsidR="008F74D4" w:rsidRDefault="008F74D4" w:rsidP="00621EA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3AD8" w14:textId="77777777" w:rsidR="00562E3D" w:rsidRDefault="00562E3D">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9E2C" w14:textId="106DD985" w:rsidR="00EA72A9" w:rsidRDefault="00EA72A9" w:rsidP="00621EA2">
    <w:pPr>
      <w:pStyle w:val="af2"/>
      <w:ind w:firstLine="360"/>
      <w:jc w:val="center"/>
    </w:pPr>
  </w:p>
  <w:p w14:paraId="1F8DDD20" w14:textId="5A5672E5" w:rsidR="00EA72A9" w:rsidRDefault="00EA72A9" w:rsidP="00621EA2">
    <w:pPr>
      <w:spacing w:line="209" w:lineRule="auto"/>
      <w:ind w:left="3498" w:firstLine="360"/>
      <w:rPr>
        <w:rFonts w:ascii="宋体" w:eastAsia="宋体" w:hAnsi="宋体" w:cs="宋体"/>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54474" w14:textId="77777777" w:rsidR="00562E3D" w:rsidRDefault="00562E3D">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01676"/>
      <w:docPartObj>
        <w:docPartGallery w:val="Page Numbers (Bottom of Page)"/>
        <w:docPartUnique/>
      </w:docPartObj>
    </w:sdtPr>
    <w:sdtEndPr/>
    <w:sdtContent>
      <w:p w14:paraId="05593F60" w14:textId="2405114A" w:rsidR="00EA72A9" w:rsidRDefault="00EA72A9" w:rsidP="00621EA2">
        <w:pPr>
          <w:pStyle w:val="af2"/>
          <w:ind w:firstLine="360"/>
          <w:jc w:val="center"/>
        </w:pPr>
        <w:r>
          <w:fldChar w:fldCharType="begin"/>
        </w:r>
        <w:r>
          <w:instrText>PAGE   \* MERGEFORMAT</w:instrText>
        </w:r>
        <w:r>
          <w:fldChar w:fldCharType="separate"/>
        </w:r>
        <w:r w:rsidR="00C32361" w:rsidRPr="00C32361">
          <w:rPr>
            <w:lang w:val="zh-CN" w:eastAsia="zh-CN"/>
          </w:rPr>
          <w:t>6</w:t>
        </w:r>
        <w:r>
          <w:fldChar w:fldCharType="end"/>
        </w:r>
      </w:p>
    </w:sdtContent>
  </w:sdt>
  <w:p w14:paraId="730C6273" w14:textId="3A3A3661" w:rsidR="00EA72A9" w:rsidRDefault="00EA72A9" w:rsidP="00621EA2">
    <w:pPr>
      <w:spacing w:line="209" w:lineRule="auto"/>
      <w:ind w:left="3498" w:firstLine="360"/>
      <w:rPr>
        <w:rFonts w:ascii="宋体" w:eastAsia="宋体" w:hAnsi="宋体" w:cs="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4E8E" w14:textId="77777777" w:rsidR="008F74D4" w:rsidRDefault="008F74D4" w:rsidP="00621EA2">
      <w:pPr>
        <w:ind w:firstLine="480"/>
      </w:pPr>
      <w:r>
        <w:separator/>
      </w:r>
    </w:p>
  </w:footnote>
  <w:footnote w:type="continuationSeparator" w:id="0">
    <w:p w14:paraId="2BF74B82" w14:textId="77777777" w:rsidR="008F74D4" w:rsidRDefault="008F74D4" w:rsidP="00621EA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68FC" w14:textId="77777777" w:rsidR="00562E3D" w:rsidRDefault="00562E3D">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F4A4" w14:textId="43836A2B" w:rsidR="00EA72A9" w:rsidRDefault="00EA72A9" w:rsidP="00DE688D">
    <w:pPr>
      <w:spacing w:before="19" w:line="183" w:lineRule="auto"/>
      <w:ind w:firstLine="406"/>
      <w:rPr>
        <w:rFonts w:ascii="宋体" w:eastAsia="宋体" w:hAnsi="宋体" w:cs="宋体"/>
        <w:sz w:val="20"/>
        <w:szCs w:val="20"/>
      </w:rPr>
    </w:pPr>
    <w:r>
      <w:rPr>
        <w:rFonts w:ascii="宋体" w:eastAsia="宋体" w:hAnsi="宋体" w:cs="宋体"/>
        <w:spacing w:val="3"/>
        <w:sz w:val="20"/>
        <w:szCs w:val="20"/>
        <w:u w:val="single"/>
      </w:rPr>
      <w:t xml:space="preserve">编制说明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7372" w14:textId="77777777" w:rsidR="00562E3D" w:rsidRDefault="00562E3D">
    <w:pPr>
      <w:pStyle w:val="af0"/>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ED32" w14:textId="619669C9" w:rsidR="00EA72A9" w:rsidRDefault="00EA72A9" w:rsidP="002672B6">
    <w:pPr>
      <w:spacing w:before="19" w:line="183" w:lineRule="auto"/>
      <w:ind w:firstLine="406"/>
      <w:rPr>
        <w:rFonts w:ascii="宋体" w:eastAsia="宋体" w:hAnsi="宋体" w:cs="宋体"/>
        <w:sz w:val="20"/>
        <w:szCs w:val="20"/>
      </w:rPr>
    </w:pPr>
    <w:r>
      <w:rPr>
        <w:rFonts w:ascii="宋体" w:eastAsia="宋体" w:hAnsi="宋体" w:cs="宋体"/>
        <w:spacing w:val="3"/>
        <w:sz w:val="20"/>
        <w:szCs w:val="20"/>
        <w:u w:val="single"/>
      </w:rPr>
      <w:t xml:space="preserve">编制说明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50F90"/>
    <w:multiLevelType w:val="multilevel"/>
    <w:tmpl w:val="E68A0002"/>
    <w:lvl w:ilvl="0">
      <w:start w:val="1"/>
      <w:numFmt w:val="lowerLetter"/>
      <w:pStyle w:val="a"/>
      <w:lvlText w:val="%1)"/>
      <w:lvlJc w:val="left"/>
      <w:pPr>
        <w:tabs>
          <w:tab w:val="num" w:pos="851"/>
        </w:tabs>
        <w:ind w:left="851" w:hanging="426"/>
      </w:pPr>
      <w:rPr>
        <w:rFonts w:ascii="宋体" w:eastAsia="宋体" w:hAnsi="Times New Roman" w:hint="eastAsia"/>
        <w:sz w:val="21"/>
      </w:rPr>
    </w:lvl>
    <w:lvl w:ilvl="1">
      <w:start w:val="1"/>
      <w:numFmt w:val="decimal"/>
      <w:pStyle w:val="a0"/>
      <w:lvlText w:val="%2)"/>
      <w:lvlJc w:val="left"/>
      <w:pPr>
        <w:tabs>
          <w:tab w:val="num" w:pos="2693"/>
        </w:tabs>
        <w:ind w:left="2693" w:hanging="425"/>
      </w:pPr>
      <w:rPr>
        <w:rFonts w:ascii="宋体" w:eastAsia="宋体" w:hAnsi="Times New Roman" w:hint="eastAsia"/>
        <w:b w:val="0"/>
        <w:color w:val="000000" w:themeColor="text1"/>
        <w:sz w:val="24"/>
        <w:szCs w:val="24"/>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15:restartNumberingAfterBreak="0">
    <w:nsid w:val="6CEA2025"/>
    <w:multiLevelType w:val="multilevel"/>
    <w:tmpl w:val="AA74AB70"/>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3261" w:firstLine="0"/>
      </w:pPr>
      <w:rPr>
        <w:rFonts w:ascii="黑体" w:eastAsia="黑体" w:hint="eastAsia"/>
        <w:b w:val="0"/>
        <w:i w:val="0"/>
        <w:sz w:val="21"/>
      </w:rPr>
    </w:lvl>
    <w:lvl w:ilvl="2">
      <w:start w:val="1"/>
      <w:numFmt w:val="decimal"/>
      <w:pStyle w:val="a4"/>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5"/>
      <w:suff w:val="nothing"/>
      <w:lvlText w:val="%1%2.%3.%4　"/>
      <w:lvlJc w:val="left"/>
      <w:pPr>
        <w:ind w:left="1985"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B9"/>
    <w:rsid w:val="00001ABD"/>
    <w:rsid w:val="0000550D"/>
    <w:rsid w:val="000055DE"/>
    <w:rsid w:val="00006754"/>
    <w:rsid w:val="00007415"/>
    <w:rsid w:val="00010B78"/>
    <w:rsid w:val="00013D45"/>
    <w:rsid w:val="00024AEE"/>
    <w:rsid w:val="0002656E"/>
    <w:rsid w:val="0003599E"/>
    <w:rsid w:val="0003781A"/>
    <w:rsid w:val="00041C04"/>
    <w:rsid w:val="00043B86"/>
    <w:rsid w:val="00045520"/>
    <w:rsid w:val="000457A1"/>
    <w:rsid w:val="000463B4"/>
    <w:rsid w:val="0004655B"/>
    <w:rsid w:val="00046678"/>
    <w:rsid w:val="00047152"/>
    <w:rsid w:val="0005145E"/>
    <w:rsid w:val="00052B16"/>
    <w:rsid w:val="00056A10"/>
    <w:rsid w:val="000570F2"/>
    <w:rsid w:val="000577BE"/>
    <w:rsid w:val="00062643"/>
    <w:rsid w:val="000702AC"/>
    <w:rsid w:val="0007117B"/>
    <w:rsid w:val="00073B10"/>
    <w:rsid w:val="00075367"/>
    <w:rsid w:val="00083E32"/>
    <w:rsid w:val="00084D07"/>
    <w:rsid w:val="00084F93"/>
    <w:rsid w:val="0009062A"/>
    <w:rsid w:val="00091C32"/>
    <w:rsid w:val="00092216"/>
    <w:rsid w:val="00093D13"/>
    <w:rsid w:val="000953AE"/>
    <w:rsid w:val="00096CA9"/>
    <w:rsid w:val="00097A03"/>
    <w:rsid w:val="000A05B0"/>
    <w:rsid w:val="000A2288"/>
    <w:rsid w:val="000A48F5"/>
    <w:rsid w:val="000A67D0"/>
    <w:rsid w:val="000B66C2"/>
    <w:rsid w:val="000B7221"/>
    <w:rsid w:val="000B791D"/>
    <w:rsid w:val="000C3194"/>
    <w:rsid w:val="000C3CE1"/>
    <w:rsid w:val="000C4CDF"/>
    <w:rsid w:val="000C567C"/>
    <w:rsid w:val="000C75D6"/>
    <w:rsid w:val="000D0A6A"/>
    <w:rsid w:val="000D1B3A"/>
    <w:rsid w:val="000D215B"/>
    <w:rsid w:val="000D3096"/>
    <w:rsid w:val="000D3B48"/>
    <w:rsid w:val="000D41C8"/>
    <w:rsid w:val="000D5017"/>
    <w:rsid w:val="000E2BF9"/>
    <w:rsid w:val="000F1665"/>
    <w:rsid w:val="000F3E1C"/>
    <w:rsid w:val="000F3EB0"/>
    <w:rsid w:val="000F588A"/>
    <w:rsid w:val="000F6656"/>
    <w:rsid w:val="000F67B2"/>
    <w:rsid w:val="00100FD7"/>
    <w:rsid w:val="0010118C"/>
    <w:rsid w:val="00101CCD"/>
    <w:rsid w:val="00104152"/>
    <w:rsid w:val="001043C7"/>
    <w:rsid w:val="00105DDE"/>
    <w:rsid w:val="00107E2E"/>
    <w:rsid w:val="00111FF9"/>
    <w:rsid w:val="00112E62"/>
    <w:rsid w:val="00112E6C"/>
    <w:rsid w:val="00112EDD"/>
    <w:rsid w:val="00114495"/>
    <w:rsid w:val="0011485D"/>
    <w:rsid w:val="00114B15"/>
    <w:rsid w:val="00115CE7"/>
    <w:rsid w:val="00120967"/>
    <w:rsid w:val="00121213"/>
    <w:rsid w:val="00124F38"/>
    <w:rsid w:val="00132D89"/>
    <w:rsid w:val="00136928"/>
    <w:rsid w:val="001372C5"/>
    <w:rsid w:val="00141C8E"/>
    <w:rsid w:val="00143847"/>
    <w:rsid w:val="00154FC4"/>
    <w:rsid w:val="00156871"/>
    <w:rsid w:val="00162B81"/>
    <w:rsid w:val="00163BEF"/>
    <w:rsid w:val="001648CE"/>
    <w:rsid w:val="001654C9"/>
    <w:rsid w:val="001659A6"/>
    <w:rsid w:val="0017039A"/>
    <w:rsid w:val="00170C60"/>
    <w:rsid w:val="00170D8E"/>
    <w:rsid w:val="0017199D"/>
    <w:rsid w:val="001729EE"/>
    <w:rsid w:val="00172D16"/>
    <w:rsid w:val="0017426F"/>
    <w:rsid w:val="00174DE1"/>
    <w:rsid w:val="00175D35"/>
    <w:rsid w:val="00177345"/>
    <w:rsid w:val="001832D5"/>
    <w:rsid w:val="00183649"/>
    <w:rsid w:val="00185694"/>
    <w:rsid w:val="001927C6"/>
    <w:rsid w:val="00192890"/>
    <w:rsid w:val="00192EAB"/>
    <w:rsid w:val="00193431"/>
    <w:rsid w:val="00193518"/>
    <w:rsid w:val="00194A0C"/>
    <w:rsid w:val="00195539"/>
    <w:rsid w:val="0019684C"/>
    <w:rsid w:val="00196911"/>
    <w:rsid w:val="00196C43"/>
    <w:rsid w:val="001A57D8"/>
    <w:rsid w:val="001A596A"/>
    <w:rsid w:val="001A6B88"/>
    <w:rsid w:val="001B1891"/>
    <w:rsid w:val="001B4E32"/>
    <w:rsid w:val="001B7376"/>
    <w:rsid w:val="001C0526"/>
    <w:rsid w:val="001C1C02"/>
    <w:rsid w:val="001C1D4C"/>
    <w:rsid w:val="001C4826"/>
    <w:rsid w:val="001C633C"/>
    <w:rsid w:val="001D1CD9"/>
    <w:rsid w:val="001D2BCD"/>
    <w:rsid w:val="001D3AAF"/>
    <w:rsid w:val="001D4F76"/>
    <w:rsid w:val="001D519E"/>
    <w:rsid w:val="001E064C"/>
    <w:rsid w:val="001E1C70"/>
    <w:rsid w:val="001E2BE1"/>
    <w:rsid w:val="001E3358"/>
    <w:rsid w:val="001E49AA"/>
    <w:rsid w:val="001E6C85"/>
    <w:rsid w:val="001F2D2C"/>
    <w:rsid w:val="001F46CC"/>
    <w:rsid w:val="001F56FA"/>
    <w:rsid w:val="002054C5"/>
    <w:rsid w:val="00205622"/>
    <w:rsid w:val="00205A83"/>
    <w:rsid w:val="00205FF3"/>
    <w:rsid w:val="002105FB"/>
    <w:rsid w:val="002145A1"/>
    <w:rsid w:val="0021509B"/>
    <w:rsid w:val="002212BE"/>
    <w:rsid w:val="002217F7"/>
    <w:rsid w:val="00223614"/>
    <w:rsid w:val="002237E4"/>
    <w:rsid w:val="00223DB8"/>
    <w:rsid w:val="002258DC"/>
    <w:rsid w:val="00226B96"/>
    <w:rsid w:val="00235FB7"/>
    <w:rsid w:val="002378EA"/>
    <w:rsid w:val="002421E2"/>
    <w:rsid w:val="0024258C"/>
    <w:rsid w:val="002477B5"/>
    <w:rsid w:val="00250AA2"/>
    <w:rsid w:val="00250EC8"/>
    <w:rsid w:val="00262271"/>
    <w:rsid w:val="00263EBD"/>
    <w:rsid w:val="002642F3"/>
    <w:rsid w:val="002672B6"/>
    <w:rsid w:val="00271246"/>
    <w:rsid w:val="00274E03"/>
    <w:rsid w:val="00275728"/>
    <w:rsid w:val="00277497"/>
    <w:rsid w:val="00277BCD"/>
    <w:rsid w:val="00280612"/>
    <w:rsid w:val="00280649"/>
    <w:rsid w:val="0028183A"/>
    <w:rsid w:val="00282759"/>
    <w:rsid w:val="002836D7"/>
    <w:rsid w:val="00283707"/>
    <w:rsid w:val="00283F06"/>
    <w:rsid w:val="00287841"/>
    <w:rsid w:val="00290199"/>
    <w:rsid w:val="00290C6B"/>
    <w:rsid w:val="0029122B"/>
    <w:rsid w:val="0029340B"/>
    <w:rsid w:val="002937C6"/>
    <w:rsid w:val="002947C9"/>
    <w:rsid w:val="0029566E"/>
    <w:rsid w:val="002967BA"/>
    <w:rsid w:val="002A4657"/>
    <w:rsid w:val="002A4EAA"/>
    <w:rsid w:val="002A7454"/>
    <w:rsid w:val="002B3606"/>
    <w:rsid w:val="002B4824"/>
    <w:rsid w:val="002B4DA8"/>
    <w:rsid w:val="002B5B1D"/>
    <w:rsid w:val="002B6444"/>
    <w:rsid w:val="002C11A5"/>
    <w:rsid w:val="002C189D"/>
    <w:rsid w:val="002C1C30"/>
    <w:rsid w:val="002C430B"/>
    <w:rsid w:val="002C4B2C"/>
    <w:rsid w:val="002C6D3A"/>
    <w:rsid w:val="002D0937"/>
    <w:rsid w:val="002D4758"/>
    <w:rsid w:val="002D5868"/>
    <w:rsid w:val="002D6EDE"/>
    <w:rsid w:val="002D79CB"/>
    <w:rsid w:val="002E171A"/>
    <w:rsid w:val="002E3BB3"/>
    <w:rsid w:val="002E3F05"/>
    <w:rsid w:val="002E53F5"/>
    <w:rsid w:val="002E6706"/>
    <w:rsid w:val="002E67DB"/>
    <w:rsid w:val="002F1CCA"/>
    <w:rsid w:val="002F2EF2"/>
    <w:rsid w:val="002F5C89"/>
    <w:rsid w:val="0030014F"/>
    <w:rsid w:val="0030151A"/>
    <w:rsid w:val="003017CD"/>
    <w:rsid w:val="00306408"/>
    <w:rsid w:val="00312AB0"/>
    <w:rsid w:val="00313CB3"/>
    <w:rsid w:val="0031449E"/>
    <w:rsid w:val="003158E5"/>
    <w:rsid w:val="00325405"/>
    <w:rsid w:val="00325D43"/>
    <w:rsid w:val="00327441"/>
    <w:rsid w:val="003339FF"/>
    <w:rsid w:val="00335027"/>
    <w:rsid w:val="00336357"/>
    <w:rsid w:val="00342589"/>
    <w:rsid w:val="0034291C"/>
    <w:rsid w:val="0034789E"/>
    <w:rsid w:val="003506DB"/>
    <w:rsid w:val="00352192"/>
    <w:rsid w:val="0035644F"/>
    <w:rsid w:val="00356BF5"/>
    <w:rsid w:val="00357A10"/>
    <w:rsid w:val="00361889"/>
    <w:rsid w:val="00364747"/>
    <w:rsid w:val="00364BA3"/>
    <w:rsid w:val="00364EBF"/>
    <w:rsid w:val="00365A91"/>
    <w:rsid w:val="00366564"/>
    <w:rsid w:val="00366BC7"/>
    <w:rsid w:val="0037164E"/>
    <w:rsid w:val="003733D1"/>
    <w:rsid w:val="003754E8"/>
    <w:rsid w:val="00376F0D"/>
    <w:rsid w:val="0037707F"/>
    <w:rsid w:val="003841CA"/>
    <w:rsid w:val="00384701"/>
    <w:rsid w:val="00386FFC"/>
    <w:rsid w:val="00387229"/>
    <w:rsid w:val="00387A9F"/>
    <w:rsid w:val="00387E75"/>
    <w:rsid w:val="00392446"/>
    <w:rsid w:val="0039376B"/>
    <w:rsid w:val="00395172"/>
    <w:rsid w:val="00397F7D"/>
    <w:rsid w:val="003A2AEA"/>
    <w:rsid w:val="003A2FD8"/>
    <w:rsid w:val="003A3EF4"/>
    <w:rsid w:val="003A7295"/>
    <w:rsid w:val="003B427B"/>
    <w:rsid w:val="003B72DF"/>
    <w:rsid w:val="003C1907"/>
    <w:rsid w:val="003C38A8"/>
    <w:rsid w:val="003C427A"/>
    <w:rsid w:val="003C5AD0"/>
    <w:rsid w:val="003C6F0B"/>
    <w:rsid w:val="003C7477"/>
    <w:rsid w:val="003D4A8D"/>
    <w:rsid w:val="003E22CB"/>
    <w:rsid w:val="003E35E6"/>
    <w:rsid w:val="003E548B"/>
    <w:rsid w:val="003E71DA"/>
    <w:rsid w:val="003F0DED"/>
    <w:rsid w:val="003F1A4B"/>
    <w:rsid w:val="003F1A6E"/>
    <w:rsid w:val="003F20A5"/>
    <w:rsid w:val="003F287D"/>
    <w:rsid w:val="003F37DF"/>
    <w:rsid w:val="003F783E"/>
    <w:rsid w:val="003F7C98"/>
    <w:rsid w:val="00401343"/>
    <w:rsid w:val="00402F5C"/>
    <w:rsid w:val="00405C3C"/>
    <w:rsid w:val="00407900"/>
    <w:rsid w:val="00407E06"/>
    <w:rsid w:val="00412827"/>
    <w:rsid w:val="00414FEE"/>
    <w:rsid w:val="00417AE9"/>
    <w:rsid w:val="004247CB"/>
    <w:rsid w:val="00431248"/>
    <w:rsid w:val="00431747"/>
    <w:rsid w:val="004320E1"/>
    <w:rsid w:val="004331C1"/>
    <w:rsid w:val="004332F5"/>
    <w:rsid w:val="0043509D"/>
    <w:rsid w:val="0043578A"/>
    <w:rsid w:val="0043674F"/>
    <w:rsid w:val="0044020D"/>
    <w:rsid w:val="00440E63"/>
    <w:rsid w:val="00441BC1"/>
    <w:rsid w:val="004422CD"/>
    <w:rsid w:val="004444C4"/>
    <w:rsid w:val="00446319"/>
    <w:rsid w:val="00463AEE"/>
    <w:rsid w:val="004645F2"/>
    <w:rsid w:val="0046670F"/>
    <w:rsid w:val="00467459"/>
    <w:rsid w:val="00472107"/>
    <w:rsid w:val="00473314"/>
    <w:rsid w:val="00473844"/>
    <w:rsid w:val="00474000"/>
    <w:rsid w:val="0047521D"/>
    <w:rsid w:val="00477103"/>
    <w:rsid w:val="00483DC0"/>
    <w:rsid w:val="00484F7E"/>
    <w:rsid w:val="00485052"/>
    <w:rsid w:val="00485126"/>
    <w:rsid w:val="0048787E"/>
    <w:rsid w:val="004911AE"/>
    <w:rsid w:val="00493A52"/>
    <w:rsid w:val="00494D09"/>
    <w:rsid w:val="00496A55"/>
    <w:rsid w:val="004A08F8"/>
    <w:rsid w:val="004A252A"/>
    <w:rsid w:val="004A473C"/>
    <w:rsid w:val="004A5B65"/>
    <w:rsid w:val="004A761A"/>
    <w:rsid w:val="004B066C"/>
    <w:rsid w:val="004B3D43"/>
    <w:rsid w:val="004B7027"/>
    <w:rsid w:val="004B7865"/>
    <w:rsid w:val="004C4071"/>
    <w:rsid w:val="004D19E3"/>
    <w:rsid w:val="004D3343"/>
    <w:rsid w:val="004D3540"/>
    <w:rsid w:val="004D487E"/>
    <w:rsid w:val="004E1A2A"/>
    <w:rsid w:val="004E2F80"/>
    <w:rsid w:val="004E7840"/>
    <w:rsid w:val="004F060E"/>
    <w:rsid w:val="004F1D61"/>
    <w:rsid w:val="004F3CD6"/>
    <w:rsid w:val="004F3E83"/>
    <w:rsid w:val="004F4B0C"/>
    <w:rsid w:val="004F53F9"/>
    <w:rsid w:val="004F5B25"/>
    <w:rsid w:val="004F5DB8"/>
    <w:rsid w:val="004F64EC"/>
    <w:rsid w:val="00502DF1"/>
    <w:rsid w:val="00503295"/>
    <w:rsid w:val="00503B64"/>
    <w:rsid w:val="00505056"/>
    <w:rsid w:val="005055F1"/>
    <w:rsid w:val="0050620D"/>
    <w:rsid w:val="00511C63"/>
    <w:rsid w:val="00511E0D"/>
    <w:rsid w:val="00516220"/>
    <w:rsid w:val="00516E70"/>
    <w:rsid w:val="005227BA"/>
    <w:rsid w:val="00523DBD"/>
    <w:rsid w:val="00523DC5"/>
    <w:rsid w:val="00524FA5"/>
    <w:rsid w:val="00526B09"/>
    <w:rsid w:val="005278F1"/>
    <w:rsid w:val="00531EE1"/>
    <w:rsid w:val="005366A6"/>
    <w:rsid w:val="00543635"/>
    <w:rsid w:val="00544A48"/>
    <w:rsid w:val="00545A49"/>
    <w:rsid w:val="0054664F"/>
    <w:rsid w:val="005468B3"/>
    <w:rsid w:val="00546BE0"/>
    <w:rsid w:val="00550A42"/>
    <w:rsid w:val="00550EAA"/>
    <w:rsid w:val="0055223D"/>
    <w:rsid w:val="00552B3E"/>
    <w:rsid w:val="00554412"/>
    <w:rsid w:val="0055467E"/>
    <w:rsid w:val="00554C76"/>
    <w:rsid w:val="005564C7"/>
    <w:rsid w:val="00557A17"/>
    <w:rsid w:val="00557B9F"/>
    <w:rsid w:val="0056285E"/>
    <w:rsid w:val="00562E3D"/>
    <w:rsid w:val="0056499C"/>
    <w:rsid w:val="00564E17"/>
    <w:rsid w:val="0056500D"/>
    <w:rsid w:val="0057254A"/>
    <w:rsid w:val="005732D1"/>
    <w:rsid w:val="00576C94"/>
    <w:rsid w:val="0058413B"/>
    <w:rsid w:val="0058444D"/>
    <w:rsid w:val="00585B49"/>
    <w:rsid w:val="00585E37"/>
    <w:rsid w:val="00591AF1"/>
    <w:rsid w:val="00592E5D"/>
    <w:rsid w:val="005931DA"/>
    <w:rsid w:val="00593CFB"/>
    <w:rsid w:val="005940CE"/>
    <w:rsid w:val="00594190"/>
    <w:rsid w:val="00597979"/>
    <w:rsid w:val="005A0303"/>
    <w:rsid w:val="005A0845"/>
    <w:rsid w:val="005A0A2D"/>
    <w:rsid w:val="005A0F1B"/>
    <w:rsid w:val="005A0F74"/>
    <w:rsid w:val="005A3F44"/>
    <w:rsid w:val="005A50DC"/>
    <w:rsid w:val="005B14AD"/>
    <w:rsid w:val="005B3B80"/>
    <w:rsid w:val="005C00A4"/>
    <w:rsid w:val="005C2668"/>
    <w:rsid w:val="005C286C"/>
    <w:rsid w:val="005C382F"/>
    <w:rsid w:val="005C7DA6"/>
    <w:rsid w:val="005D10D5"/>
    <w:rsid w:val="005D2B64"/>
    <w:rsid w:val="005D36A9"/>
    <w:rsid w:val="005D3AE4"/>
    <w:rsid w:val="005D5894"/>
    <w:rsid w:val="005D5AAD"/>
    <w:rsid w:val="005D7459"/>
    <w:rsid w:val="005E0DB2"/>
    <w:rsid w:val="005E1310"/>
    <w:rsid w:val="005E5D3A"/>
    <w:rsid w:val="005E710C"/>
    <w:rsid w:val="005E767A"/>
    <w:rsid w:val="005F4B19"/>
    <w:rsid w:val="005F50FF"/>
    <w:rsid w:val="005F5320"/>
    <w:rsid w:val="005F5F38"/>
    <w:rsid w:val="005F6692"/>
    <w:rsid w:val="00601B56"/>
    <w:rsid w:val="00603E6D"/>
    <w:rsid w:val="006058F8"/>
    <w:rsid w:val="0060648A"/>
    <w:rsid w:val="0061325F"/>
    <w:rsid w:val="00614FE5"/>
    <w:rsid w:val="00615D52"/>
    <w:rsid w:val="00621213"/>
    <w:rsid w:val="006217C4"/>
    <w:rsid w:val="00621EA2"/>
    <w:rsid w:val="006220BA"/>
    <w:rsid w:val="006235A8"/>
    <w:rsid w:val="00623696"/>
    <w:rsid w:val="00623A1A"/>
    <w:rsid w:val="00625B0C"/>
    <w:rsid w:val="00630F72"/>
    <w:rsid w:val="00632A92"/>
    <w:rsid w:val="00632C7D"/>
    <w:rsid w:val="00632CB3"/>
    <w:rsid w:val="0063339B"/>
    <w:rsid w:val="00633DA4"/>
    <w:rsid w:val="00634DB9"/>
    <w:rsid w:val="00635ADC"/>
    <w:rsid w:val="0063750C"/>
    <w:rsid w:val="00640224"/>
    <w:rsid w:val="00640983"/>
    <w:rsid w:val="0064211B"/>
    <w:rsid w:val="0064456D"/>
    <w:rsid w:val="0064599E"/>
    <w:rsid w:val="0065185D"/>
    <w:rsid w:val="006562CA"/>
    <w:rsid w:val="0065688A"/>
    <w:rsid w:val="00657787"/>
    <w:rsid w:val="00657DA2"/>
    <w:rsid w:val="0066140C"/>
    <w:rsid w:val="006616EB"/>
    <w:rsid w:val="00665032"/>
    <w:rsid w:val="006656DE"/>
    <w:rsid w:val="0066764D"/>
    <w:rsid w:val="00680314"/>
    <w:rsid w:val="00681D6F"/>
    <w:rsid w:val="00682561"/>
    <w:rsid w:val="00682F32"/>
    <w:rsid w:val="00683951"/>
    <w:rsid w:val="006842BF"/>
    <w:rsid w:val="00685B79"/>
    <w:rsid w:val="00693518"/>
    <w:rsid w:val="0069366B"/>
    <w:rsid w:val="00694A63"/>
    <w:rsid w:val="00694B49"/>
    <w:rsid w:val="00695C35"/>
    <w:rsid w:val="00696BA5"/>
    <w:rsid w:val="006A0E67"/>
    <w:rsid w:val="006A1112"/>
    <w:rsid w:val="006A4D0A"/>
    <w:rsid w:val="006A52D3"/>
    <w:rsid w:val="006A5C84"/>
    <w:rsid w:val="006A5DCB"/>
    <w:rsid w:val="006A6864"/>
    <w:rsid w:val="006A69B6"/>
    <w:rsid w:val="006B0C2B"/>
    <w:rsid w:val="006B2C3F"/>
    <w:rsid w:val="006B7B71"/>
    <w:rsid w:val="006C1107"/>
    <w:rsid w:val="006C1C2A"/>
    <w:rsid w:val="006C1FF2"/>
    <w:rsid w:val="006C3B38"/>
    <w:rsid w:val="006C448D"/>
    <w:rsid w:val="006C4C83"/>
    <w:rsid w:val="006C7103"/>
    <w:rsid w:val="006D170D"/>
    <w:rsid w:val="006D2A72"/>
    <w:rsid w:val="006D579D"/>
    <w:rsid w:val="006D5DC2"/>
    <w:rsid w:val="006D64E0"/>
    <w:rsid w:val="006E0648"/>
    <w:rsid w:val="006E0FF4"/>
    <w:rsid w:val="006F459B"/>
    <w:rsid w:val="006F5948"/>
    <w:rsid w:val="00701AFD"/>
    <w:rsid w:val="00701F42"/>
    <w:rsid w:val="00702C68"/>
    <w:rsid w:val="0070422D"/>
    <w:rsid w:val="007066E4"/>
    <w:rsid w:val="00707853"/>
    <w:rsid w:val="00707ECC"/>
    <w:rsid w:val="007108FA"/>
    <w:rsid w:val="00715617"/>
    <w:rsid w:val="00723F77"/>
    <w:rsid w:val="00732BC1"/>
    <w:rsid w:val="007339DB"/>
    <w:rsid w:val="00733E4B"/>
    <w:rsid w:val="00735C53"/>
    <w:rsid w:val="00736426"/>
    <w:rsid w:val="00736695"/>
    <w:rsid w:val="00737C52"/>
    <w:rsid w:val="0074374F"/>
    <w:rsid w:val="00743E1D"/>
    <w:rsid w:val="00743F6A"/>
    <w:rsid w:val="00745CF7"/>
    <w:rsid w:val="007466E8"/>
    <w:rsid w:val="00746D70"/>
    <w:rsid w:val="0075021F"/>
    <w:rsid w:val="00752C0C"/>
    <w:rsid w:val="007535BC"/>
    <w:rsid w:val="00753670"/>
    <w:rsid w:val="007571B4"/>
    <w:rsid w:val="00761995"/>
    <w:rsid w:val="00762D21"/>
    <w:rsid w:val="007631FE"/>
    <w:rsid w:val="00763950"/>
    <w:rsid w:val="0076777D"/>
    <w:rsid w:val="00767A82"/>
    <w:rsid w:val="007713D1"/>
    <w:rsid w:val="0077203E"/>
    <w:rsid w:val="007726BA"/>
    <w:rsid w:val="0077311E"/>
    <w:rsid w:val="00781E03"/>
    <w:rsid w:val="00783630"/>
    <w:rsid w:val="00784BF0"/>
    <w:rsid w:val="00785D95"/>
    <w:rsid w:val="007868BF"/>
    <w:rsid w:val="007929D0"/>
    <w:rsid w:val="007944C7"/>
    <w:rsid w:val="007945D3"/>
    <w:rsid w:val="007970C4"/>
    <w:rsid w:val="007A0AD6"/>
    <w:rsid w:val="007A0D5A"/>
    <w:rsid w:val="007A1D2C"/>
    <w:rsid w:val="007A3B8E"/>
    <w:rsid w:val="007A7922"/>
    <w:rsid w:val="007B0392"/>
    <w:rsid w:val="007B1B96"/>
    <w:rsid w:val="007B1FB8"/>
    <w:rsid w:val="007B3BE2"/>
    <w:rsid w:val="007B6616"/>
    <w:rsid w:val="007B6A8B"/>
    <w:rsid w:val="007B7ADF"/>
    <w:rsid w:val="007C0462"/>
    <w:rsid w:val="007C1423"/>
    <w:rsid w:val="007C1F30"/>
    <w:rsid w:val="007C265A"/>
    <w:rsid w:val="007C4F23"/>
    <w:rsid w:val="007C6225"/>
    <w:rsid w:val="007D01AA"/>
    <w:rsid w:val="007D096B"/>
    <w:rsid w:val="007D0EDC"/>
    <w:rsid w:val="007D1EE4"/>
    <w:rsid w:val="007D30DE"/>
    <w:rsid w:val="007D467C"/>
    <w:rsid w:val="007D47FB"/>
    <w:rsid w:val="007D5839"/>
    <w:rsid w:val="007D6060"/>
    <w:rsid w:val="007D6E60"/>
    <w:rsid w:val="007E0CE1"/>
    <w:rsid w:val="007E323A"/>
    <w:rsid w:val="007E4DFF"/>
    <w:rsid w:val="007E6860"/>
    <w:rsid w:val="007F1B4D"/>
    <w:rsid w:val="007F22F1"/>
    <w:rsid w:val="007F54C8"/>
    <w:rsid w:val="007F6326"/>
    <w:rsid w:val="00800B39"/>
    <w:rsid w:val="008032B7"/>
    <w:rsid w:val="0080377D"/>
    <w:rsid w:val="00803A3A"/>
    <w:rsid w:val="0080519D"/>
    <w:rsid w:val="0081126E"/>
    <w:rsid w:val="00811F9F"/>
    <w:rsid w:val="00812620"/>
    <w:rsid w:val="00812BB2"/>
    <w:rsid w:val="008153FC"/>
    <w:rsid w:val="00815B88"/>
    <w:rsid w:val="0081723F"/>
    <w:rsid w:val="00817294"/>
    <w:rsid w:val="00820A3F"/>
    <w:rsid w:val="00820E6A"/>
    <w:rsid w:val="00820FE5"/>
    <w:rsid w:val="008212D0"/>
    <w:rsid w:val="00823DB4"/>
    <w:rsid w:val="00830497"/>
    <w:rsid w:val="00830AD2"/>
    <w:rsid w:val="00830CCF"/>
    <w:rsid w:val="00833EB3"/>
    <w:rsid w:val="00834977"/>
    <w:rsid w:val="00836DDA"/>
    <w:rsid w:val="00837381"/>
    <w:rsid w:val="00840532"/>
    <w:rsid w:val="008424C7"/>
    <w:rsid w:val="00842D6D"/>
    <w:rsid w:val="008439FB"/>
    <w:rsid w:val="008447A4"/>
    <w:rsid w:val="00850662"/>
    <w:rsid w:val="00855690"/>
    <w:rsid w:val="00855ABF"/>
    <w:rsid w:val="008578D0"/>
    <w:rsid w:val="008606B9"/>
    <w:rsid w:val="008636AE"/>
    <w:rsid w:val="00865AC0"/>
    <w:rsid w:val="00865E63"/>
    <w:rsid w:val="00865EE9"/>
    <w:rsid w:val="00866B3A"/>
    <w:rsid w:val="00867078"/>
    <w:rsid w:val="00867B3C"/>
    <w:rsid w:val="00867C23"/>
    <w:rsid w:val="00871D2F"/>
    <w:rsid w:val="00872DBC"/>
    <w:rsid w:val="008746E3"/>
    <w:rsid w:val="00874948"/>
    <w:rsid w:val="008759CA"/>
    <w:rsid w:val="008763B5"/>
    <w:rsid w:val="00876A0A"/>
    <w:rsid w:val="00877364"/>
    <w:rsid w:val="008779A0"/>
    <w:rsid w:val="00877D01"/>
    <w:rsid w:val="008916E6"/>
    <w:rsid w:val="00891B14"/>
    <w:rsid w:val="00892B63"/>
    <w:rsid w:val="008935D1"/>
    <w:rsid w:val="008956DE"/>
    <w:rsid w:val="008A23C1"/>
    <w:rsid w:val="008A7658"/>
    <w:rsid w:val="008B0B2C"/>
    <w:rsid w:val="008B1615"/>
    <w:rsid w:val="008B4D17"/>
    <w:rsid w:val="008B4F98"/>
    <w:rsid w:val="008B63D5"/>
    <w:rsid w:val="008B6CFE"/>
    <w:rsid w:val="008C0425"/>
    <w:rsid w:val="008C22E4"/>
    <w:rsid w:val="008C363A"/>
    <w:rsid w:val="008C5ED8"/>
    <w:rsid w:val="008C7F4F"/>
    <w:rsid w:val="008D0555"/>
    <w:rsid w:val="008D0CD1"/>
    <w:rsid w:val="008D1E87"/>
    <w:rsid w:val="008D3981"/>
    <w:rsid w:val="008D3E99"/>
    <w:rsid w:val="008D54DE"/>
    <w:rsid w:val="008D5F6F"/>
    <w:rsid w:val="008E205A"/>
    <w:rsid w:val="008E4A84"/>
    <w:rsid w:val="008E5B6F"/>
    <w:rsid w:val="008E5BDC"/>
    <w:rsid w:val="008E61CF"/>
    <w:rsid w:val="008F22D7"/>
    <w:rsid w:val="008F50BE"/>
    <w:rsid w:val="008F74D4"/>
    <w:rsid w:val="009004C0"/>
    <w:rsid w:val="00902603"/>
    <w:rsid w:val="00905343"/>
    <w:rsid w:val="00905CA6"/>
    <w:rsid w:val="009110A1"/>
    <w:rsid w:val="00913D2C"/>
    <w:rsid w:val="00916CB5"/>
    <w:rsid w:val="00917AC4"/>
    <w:rsid w:val="0092071D"/>
    <w:rsid w:val="009220AE"/>
    <w:rsid w:val="00922926"/>
    <w:rsid w:val="0092426A"/>
    <w:rsid w:val="00924D51"/>
    <w:rsid w:val="009251C9"/>
    <w:rsid w:val="00927862"/>
    <w:rsid w:val="009279EC"/>
    <w:rsid w:val="00927FF2"/>
    <w:rsid w:val="00931005"/>
    <w:rsid w:val="009337EC"/>
    <w:rsid w:val="00933D51"/>
    <w:rsid w:val="009355C2"/>
    <w:rsid w:val="0093584B"/>
    <w:rsid w:val="00935C23"/>
    <w:rsid w:val="0093738E"/>
    <w:rsid w:val="00937D31"/>
    <w:rsid w:val="0094284E"/>
    <w:rsid w:val="009432F7"/>
    <w:rsid w:val="00944478"/>
    <w:rsid w:val="00946763"/>
    <w:rsid w:val="00951032"/>
    <w:rsid w:val="009553F5"/>
    <w:rsid w:val="009571D1"/>
    <w:rsid w:val="009625FF"/>
    <w:rsid w:val="00963E5A"/>
    <w:rsid w:val="009659C0"/>
    <w:rsid w:val="00970DF5"/>
    <w:rsid w:val="009719B4"/>
    <w:rsid w:val="0097274A"/>
    <w:rsid w:val="00973EE9"/>
    <w:rsid w:val="009743C3"/>
    <w:rsid w:val="0097633F"/>
    <w:rsid w:val="009827F2"/>
    <w:rsid w:val="009834B2"/>
    <w:rsid w:val="00985DB1"/>
    <w:rsid w:val="00990AF7"/>
    <w:rsid w:val="00991739"/>
    <w:rsid w:val="00994F6B"/>
    <w:rsid w:val="009A6DC7"/>
    <w:rsid w:val="009B2200"/>
    <w:rsid w:val="009B4931"/>
    <w:rsid w:val="009B4D2D"/>
    <w:rsid w:val="009B4E5F"/>
    <w:rsid w:val="009B5912"/>
    <w:rsid w:val="009C0D12"/>
    <w:rsid w:val="009C1E4B"/>
    <w:rsid w:val="009C47B9"/>
    <w:rsid w:val="009C5A6B"/>
    <w:rsid w:val="009C5EDB"/>
    <w:rsid w:val="009C6C48"/>
    <w:rsid w:val="009D0BAB"/>
    <w:rsid w:val="009D192B"/>
    <w:rsid w:val="009D6743"/>
    <w:rsid w:val="009D67B9"/>
    <w:rsid w:val="009E0D47"/>
    <w:rsid w:val="009E3B6A"/>
    <w:rsid w:val="009E47D9"/>
    <w:rsid w:val="009E4D1F"/>
    <w:rsid w:val="009E5653"/>
    <w:rsid w:val="009F371D"/>
    <w:rsid w:val="009F4759"/>
    <w:rsid w:val="009F5787"/>
    <w:rsid w:val="009F5829"/>
    <w:rsid w:val="009F5F03"/>
    <w:rsid w:val="009F7526"/>
    <w:rsid w:val="00A02642"/>
    <w:rsid w:val="00A0309C"/>
    <w:rsid w:val="00A05511"/>
    <w:rsid w:val="00A12251"/>
    <w:rsid w:val="00A13C5C"/>
    <w:rsid w:val="00A14A8B"/>
    <w:rsid w:val="00A20F3A"/>
    <w:rsid w:val="00A223D2"/>
    <w:rsid w:val="00A22523"/>
    <w:rsid w:val="00A23A89"/>
    <w:rsid w:val="00A25F0F"/>
    <w:rsid w:val="00A27EB2"/>
    <w:rsid w:val="00A30E5B"/>
    <w:rsid w:val="00A318C7"/>
    <w:rsid w:val="00A3267D"/>
    <w:rsid w:val="00A3388B"/>
    <w:rsid w:val="00A339BF"/>
    <w:rsid w:val="00A344EB"/>
    <w:rsid w:val="00A3478D"/>
    <w:rsid w:val="00A3481E"/>
    <w:rsid w:val="00A35E50"/>
    <w:rsid w:val="00A379CC"/>
    <w:rsid w:val="00A409A5"/>
    <w:rsid w:val="00A4377C"/>
    <w:rsid w:val="00A43E7A"/>
    <w:rsid w:val="00A4545F"/>
    <w:rsid w:val="00A46F0A"/>
    <w:rsid w:val="00A47594"/>
    <w:rsid w:val="00A5191D"/>
    <w:rsid w:val="00A524A9"/>
    <w:rsid w:val="00A6176C"/>
    <w:rsid w:val="00A63049"/>
    <w:rsid w:val="00A650FB"/>
    <w:rsid w:val="00A660E9"/>
    <w:rsid w:val="00A67F2D"/>
    <w:rsid w:val="00A705D7"/>
    <w:rsid w:val="00A72AE6"/>
    <w:rsid w:val="00A75ACA"/>
    <w:rsid w:val="00A80573"/>
    <w:rsid w:val="00A81B14"/>
    <w:rsid w:val="00A81D2A"/>
    <w:rsid w:val="00A83589"/>
    <w:rsid w:val="00A83A72"/>
    <w:rsid w:val="00A84527"/>
    <w:rsid w:val="00A846E9"/>
    <w:rsid w:val="00A84F5C"/>
    <w:rsid w:val="00A871E8"/>
    <w:rsid w:val="00A87B3D"/>
    <w:rsid w:val="00A90310"/>
    <w:rsid w:val="00A90AE4"/>
    <w:rsid w:val="00A92838"/>
    <w:rsid w:val="00A92FAC"/>
    <w:rsid w:val="00A9306C"/>
    <w:rsid w:val="00A933B2"/>
    <w:rsid w:val="00A93DBB"/>
    <w:rsid w:val="00A967D9"/>
    <w:rsid w:val="00A97B8D"/>
    <w:rsid w:val="00AA2A18"/>
    <w:rsid w:val="00AA5F9A"/>
    <w:rsid w:val="00AB52E2"/>
    <w:rsid w:val="00AB5B86"/>
    <w:rsid w:val="00AB6387"/>
    <w:rsid w:val="00AB7251"/>
    <w:rsid w:val="00AB7DF6"/>
    <w:rsid w:val="00AC0889"/>
    <w:rsid w:val="00AC0BE1"/>
    <w:rsid w:val="00AC10AD"/>
    <w:rsid w:val="00AC3193"/>
    <w:rsid w:val="00AC4D37"/>
    <w:rsid w:val="00AD124A"/>
    <w:rsid w:val="00AD5288"/>
    <w:rsid w:val="00AD7475"/>
    <w:rsid w:val="00AD7DF5"/>
    <w:rsid w:val="00AE08E9"/>
    <w:rsid w:val="00AE1146"/>
    <w:rsid w:val="00AE1F4B"/>
    <w:rsid w:val="00AE209F"/>
    <w:rsid w:val="00AE5B3A"/>
    <w:rsid w:val="00AF345E"/>
    <w:rsid w:val="00AF5562"/>
    <w:rsid w:val="00B0004F"/>
    <w:rsid w:val="00B00B62"/>
    <w:rsid w:val="00B01E16"/>
    <w:rsid w:val="00B04529"/>
    <w:rsid w:val="00B0688E"/>
    <w:rsid w:val="00B06D83"/>
    <w:rsid w:val="00B1008B"/>
    <w:rsid w:val="00B1046E"/>
    <w:rsid w:val="00B108AC"/>
    <w:rsid w:val="00B10B99"/>
    <w:rsid w:val="00B1116A"/>
    <w:rsid w:val="00B118A6"/>
    <w:rsid w:val="00B118B1"/>
    <w:rsid w:val="00B1278B"/>
    <w:rsid w:val="00B1452F"/>
    <w:rsid w:val="00B176EC"/>
    <w:rsid w:val="00B177BF"/>
    <w:rsid w:val="00B20459"/>
    <w:rsid w:val="00B2136B"/>
    <w:rsid w:val="00B2158B"/>
    <w:rsid w:val="00B22699"/>
    <w:rsid w:val="00B24F13"/>
    <w:rsid w:val="00B26E8B"/>
    <w:rsid w:val="00B30479"/>
    <w:rsid w:val="00B306AF"/>
    <w:rsid w:val="00B3088C"/>
    <w:rsid w:val="00B3261C"/>
    <w:rsid w:val="00B34070"/>
    <w:rsid w:val="00B37FF9"/>
    <w:rsid w:val="00B42B10"/>
    <w:rsid w:val="00B42B80"/>
    <w:rsid w:val="00B44250"/>
    <w:rsid w:val="00B44EC9"/>
    <w:rsid w:val="00B46453"/>
    <w:rsid w:val="00B478E6"/>
    <w:rsid w:val="00B47D00"/>
    <w:rsid w:val="00B50730"/>
    <w:rsid w:val="00B52336"/>
    <w:rsid w:val="00B54DE9"/>
    <w:rsid w:val="00B56A71"/>
    <w:rsid w:val="00B5757F"/>
    <w:rsid w:val="00B576C7"/>
    <w:rsid w:val="00B61A0D"/>
    <w:rsid w:val="00B66345"/>
    <w:rsid w:val="00B66CC2"/>
    <w:rsid w:val="00B76120"/>
    <w:rsid w:val="00B76F57"/>
    <w:rsid w:val="00B77D1D"/>
    <w:rsid w:val="00B82629"/>
    <w:rsid w:val="00B83E8C"/>
    <w:rsid w:val="00B84408"/>
    <w:rsid w:val="00B845E4"/>
    <w:rsid w:val="00B84F27"/>
    <w:rsid w:val="00B85655"/>
    <w:rsid w:val="00B8577B"/>
    <w:rsid w:val="00B905CE"/>
    <w:rsid w:val="00B9065A"/>
    <w:rsid w:val="00B90815"/>
    <w:rsid w:val="00B91313"/>
    <w:rsid w:val="00B93B4C"/>
    <w:rsid w:val="00B94C07"/>
    <w:rsid w:val="00B95731"/>
    <w:rsid w:val="00B95CAA"/>
    <w:rsid w:val="00BA0EAB"/>
    <w:rsid w:val="00BA4868"/>
    <w:rsid w:val="00BA5636"/>
    <w:rsid w:val="00BA704C"/>
    <w:rsid w:val="00BA79F3"/>
    <w:rsid w:val="00BB046B"/>
    <w:rsid w:val="00BB18BE"/>
    <w:rsid w:val="00BB1A8C"/>
    <w:rsid w:val="00BB49C0"/>
    <w:rsid w:val="00BB52E7"/>
    <w:rsid w:val="00BC0703"/>
    <w:rsid w:val="00BC08B1"/>
    <w:rsid w:val="00BC0FB7"/>
    <w:rsid w:val="00BC1CA4"/>
    <w:rsid w:val="00BC1D79"/>
    <w:rsid w:val="00BC569C"/>
    <w:rsid w:val="00BC73A2"/>
    <w:rsid w:val="00BD06AD"/>
    <w:rsid w:val="00BD0777"/>
    <w:rsid w:val="00BD161C"/>
    <w:rsid w:val="00BD1C0C"/>
    <w:rsid w:val="00BD4219"/>
    <w:rsid w:val="00BD441E"/>
    <w:rsid w:val="00BD5834"/>
    <w:rsid w:val="00BD5B94"/>
    <w:rsid w:val="00BE13ED"/>
    <w:rsid w:val="00BE168F"/>
    <w:rsid w:val="00BE5193"/>
    <w:rsid w:val="00BE7A53"/>
    <w:rsid w:val="00BF01F2"/>
    <w:rsid w:val="00BF043A"/>
    <w:rsid w:val="00BF2EFD"/>
    <w:rsid w:val="00BF438E"/>
    <w:rsid w:val="00C01100"/>
    <w:rsid w:val="00C01213"/>
    <w:rsid w:val="00C038B0"/>
    <w:rsid w:val="00C0580F"/>
    <w:rsid w:val="00C070B0"/>
    <w:rsid w:val="00C070EC"/>
    <w:rsid w:val="00C072D1"/>
    <w:rsid w:val="00C07ADC"/>
    <w:rsid w:val="00C10910"/>
    <w:rsid w:val="00C1184E"/>
    <w:rsid w:val="00C12456"/>
    <w:rsid w:val="00C13D26"/>
    <w:rsid w:val="00C13F50"/>
    <w:rsid w:val="00C16DC1"/>
    <w:rsid w:val="00C17775"/>
    <w:rsid w:val="00C27603"/>
    <w:rsid w:val="00C27B04"/>
    <w:rsid w:val="00C27BD0"/>
    <w:rsid w:val="00C32361"/>
    <w:rsid w:val="00C3663E"/>
    <w:rsid w:val="00C440CE"/>
    <w:rsid w:val="00C4485B"/>
    <w:rsid w:val="00C474B4"/>
    <w:rsid w:val="00C5301B"/>
    <w:rsid w:val="00C538CA"/>
    <w:rsid w:val="00C5390B"/>
    <w:rsid w:val="00C5708F"/>
    <w:rsid w:val="00C577B7"/>
    <w:rsid w:val="00C57C97"/>
    <w:rsid w:val="00C60BDD"/>
    <w:rsid w:val="00C64832"/>
    <w:rsid w:val="00C6511B"/>
    <w:rsid w:val="00C656F4"/>
    <w:rsid w:val="00C65E14"/>
    <w:rsid w:val="00C6669F"/>
    <w:rsid w:val="00C70D07"/>
    <w:rsid w:val="00C725A1"/>
    <w:rsid w:val="00C73FCD"/>
    <w:rsid w:val="00C774A8"/>
    <w:rsid w:val="00C77894"/>
    <w:rsid w:val="00C81F16"/>
    <w:rsid w:val="00C8239B"/>
    <w:rsid w:val="00C82BE9"/>
    <w:rsid w:val="00C83419"/>
    <w:rsid w:val="00C83BDC"/>
    <w:rsid w:val="00C8516B"/>
    <w:rsid w:val="00C85799"/>
    <w:rsid w:val="00C8779E"/>
    <w:rsid w:val="00C87862"/>
    <w:rsid w:val="00C90663"/>
    <w:rsid w:val="00C93484"/>
    <w:rsid w:val="00C952C9"/>
    <w:rsid w:val="00C9560A"/>
    <w:rsid w:val="00C97538"/>
    <w:rsid w:val="00C97BE1"/>
    <w:rsid w:val="00CA0200"/>
    <w:rsid w:val="00CA0C46"/>
    <w:rsid w:val="00CA0E0D"/>
    <w:rsid w:val="00CA2259"/>
    <w:rsid w:val="00CA3390"/>
    <w:rsid w:val="00CA5941"/>
    <w:rsid w:val="00CA69F4"/>
    <w:rsid w:val="00CA6BC8"/>
    <w:rsid w:val="00CA6DB8"/>
    <w:rsid w:val="00CB3DAB"/>
    <w:rsid w:val="00CB550A"/>
    <w:rsid w:val="00CC0C81"/>
    <w:rsid w:val="00CC55E9"/>
    <w:rsid w:val="00CC5925"/>
    <w:rsid w:val="00CD069A"/>
    <w:rsid w:val="00CD3E1C"/>
    <w:rsid w:val="00CD4094"/>
    <w:rsid w:val="00CD4147"/>
    <w:rsid w:val="00CD42D6"/>
    <w:rsid w:val="00CD5BF0"/>
    <w:rsid w:val="00CD7B08"/>
    <w:rsid w:val="00CE001F"/>
    <w:rsid w:val="00CE0C84"/>
    <w:rsid w:val="00CE1ABD"/>
    <w:rsid w:val="00CE1C37"/>
    <w:rsid w:val="00CE2DEB"/>
    <w:rsid w:val="00CE6D67"/>
    <w:rsid w:val="00CF20BD"/>
    <w:rsid w:val="00CF41F7"/>
    <w:rsid w:val="00CF6E65"/>
    <w:rsid w:val="00D03C22"/>
    <w:rsid w:val="00D043DD"/>
    <w:rsid w:val="00D049A9"/>
    <w:rsid w:val="00D04E49"/>
    <w:rsid w:val="00D07EB0"/>
    <w:rsid w:val="00D12B13"/>
    <w:rsid w:val="00D12DA5"/>
    <w:rsid w:val="00D161B0"/>
    <w:rsid w:val="00D16777"/>
    <w:rsid w:val="00D20A16"/>
    <w:rsid w:val="00D2197D"/>
    <w:rsid w:val="00D22F5B"/>
    <w:rsid w:val="00D23A89"/>
    <w:rsid w:val="00D23F00"/>
    <w:rsid w:val="00D31205"/>
    <w:rsid w:val="00D317EF"/>
    <w:rsid w:val="00D3528D"/>
    <w:rsid w:val="00D35C4C"/>
    <w:rsid w:val="00D35D32"/>
    <w:rsid w:val="00D411F9"/>
    <w:rsid w:val="00D41350"/>
    <w:rsid w:val="00D41CA7"/>
    <w:rsid w:val="00D422E7"/>
    <w:rsid w:val="00D46579"/>
    <w:rsid w:val="00D4680E"/>
    <w:rsid w:val="00D47266"/>
    <w:rsid w:val="00D475A6"/>
    <w:rsid w:val="00D51D52"/>
    <w:rsid w:val="00D52221"/>
    <w:rsid w:val="00D5225A"/>
    <w:rsid w:val="00D528CC"/>
    <w:rsid w:val="00D52BA5"/>
    <w:rsid w:val="00D5735F"/>
    <w:rsid w:val="00D57B9D"/>
    <w:rsid w:val="00D6056B"/>
    <w:rsid w:val="00D60F80"/>
    <w:rsid w:val="00D62672"/>
    <w:rsid w:val="00D67DD3"/>
    <w:rsid w:val="00D71A14"/>
    <w:rsid w:val="00D72C13"/>
    <w:rsid w:val="00D72DE2"/>
    <w:rsid w:val="00D736EB"/>
    <w:rsid w:val="00D76BFB"/>
    <w:rsid w:val="00D81AB2"/>
    <w:rsid w:val="00D85B94"/>
    <w:rsid w:val="00D879A3"/>
    <w:rsid w:val="00D9006B"/>
    <w:rsid w:val="00D90BEA"/>
    <w:rsid w:val="00D919EE"/>
    <w:rsid w:val="00D92C27"/>
    <w:rsid w:val="00D9625C"/>
    <w:rsid w:val="00D96873"/>
    <w:rsid w:val="00D9726B"/>
    <w:rsid w:val="00D974BC"/>
    <w:rsid w:val="00D97D23"/>
    <w:rsid w:val="00DA0AE3"/>
    <w:rsid w:val="00DA307C"/>
    <w:rsid w:val="00DA3A3C"/>
    <w:rsid w:val="00DA44B1"/>
    <w:rsid w:val="00DA4790"/>
    <w:rsid w:val="00DA6CE2"/>
    <w:rsid w:val="00DA78B2"/>
    <w:rsid w:val="00DA7B45"/>
    <w:rsid w:val="00DB3628"/>
    <w:rsid w:val="00DB603C"/>
    <w:rsid w:val="00DB662C"/>
    <w:rsid w:val="00DC0335"/>
    <w:rsid w:val="00DC0F46"/>
    <w:rsid w:val="00DC20F8"/>
    <w:rsid w:val="00DC51FC"/>
    <w:rsid w:val="00DC52C6"/>
    <w:rsid w:val="00DC5D49"/>
    <w:rsid w:val="00DC699D"/>
    <w:rsid w:val="00DD03C5"/>
    <w:rsid w:val="00DD2619"/>
    <w:rsid w:val="00DD48C5"/>
    <w:rsid w:val="00DD4B3E"/>
    <w:rsid w:val="00DE0593"/>
    <w:rsid w:val="00DE0E7D"/>
    <w:rsid w:val="00DE1801"/>
    <w:rsid w:val="00DE1A8D"/>
    <w:rsid w:val="00DE223A"/>
    <w:rsid w:val="00DE2FDF"/>
    <w:rsid w:val="00DE3C6C"/>
    <w:rsid w:val="00DE4571"/>
    <w:rsid w:val="00DE688D"/>
    <w:rsid w:val="00DF1F38"/>
    <w:rsid w:val="00DF710B"/>
    <w:rsid w:val="00E005F9"/>
    <w:rsid w:val="00E01734"/>
    <w:rsid w:val="00E057BD"/>
    <w:rsid w:val="00E0656E"/>
    <w:rsid w:val="00E06EB2"/>
    <w:rsid w:val="00E12A14"/>
    <w:rsid w:val="00E1332F"/>
    <w:rsid w:val="00E15157"/>
    <w:rsid w:val="00E15DAE"/>
    <w:rsid w:val="00E23936"/>
    <w:rsid w:val="00E23A3E"/>
    <w:rsid w:val="00E25120"/>
    <w:rsid w:val="00E26066"/>
    <w:rsid w:val="00E27903"/>
    <w:rsid w:val="00E30C02"/>
    <w:rsid w:val="00E32598"/>
    <w:rsid w:val="00E32F19"/>
    <w:rsid w:val="00E3698E"/>
    <w:rsid w:val="00E40813"/>
    <w:rsid w:val="00E416D3"/>
    <w:rsid w:val="00E42929"/>
    <w:rsid w:val="00E43A0B"/>
    <w:rsid w:val="00E43DCB"/>
    <w:rsid w:val="00E476C3"/>
    <w:rsid w:val="00E51942"/>
    <w:rsid w:val="00E529AF"/>
    <w:rsid w:val="00E55DB4"/>
    <w:rsid w:val="00E576F9"/>
    <w:rsid w:val="00E57A12"/>
    <w:rsid w:val="00E63F3D"/>
    <w:rsid w:val="00E63FC0"/>
    <w:rsid w:val="00E647E3"/>
    <w:rsid w:val="00E6504F"/>
    <w:rsid w:val="00E65E0C"/>
    <w:rsid w:val="00E75EB6"/>
    <w:rsid w:val="00E76680"/>
    <w:rsid w:val="00E76D68"/>
    <w:rsid w:val="00E76E2D"/>
    <w:rsid w:val="00E8410C"/>
    <w:rsid w:val="00E84E20"/>
    <w:rsid w:val="00E90E8A"/>
    <w:rsid w:val="00E91C67"/>
    <w:rsid w:val="00E96BE5"/>
    <w:rsid w:val="00EA1793"/>
    <w:rsid w:val="00EA44A9"/>
    <w:rsid w:val="00EA615A"/>
    <w:rsid w:val="00EA72A9"/>
    <w:rsid w:val="00EB041F"/>
    <w:rsid w:val="00EB133A"/>
    <w:rsid w:val="00EB13F2"/>
    <w:rsid w:val="00EB2822"/>
    <w:rsid w:val="00EC27BA"/>
    <w:rsid w:val="00EC5C06"/>
    <w:rsid w:val="00EC749B"/>
    <w:rsid w:val="00ED166D"/>
    <w:rsid w:val="00ED565B"/>
    <w:rsid w:val="00EE23AA"/>
    <w:rsid w:val="00EE5314"/>
    <w:rsid w:val="00EE6F0B"/>
    <w:rsid w:val="00EF1140"/>
    <w:rsid w:val="00EF5970"/>
    <w:rsid w:val="00EF5C37"/>
    <w:rsid w:val="00EF6691"/>
    <w:rsid w:val="00F0036D"/>
    <w:rsid w:val="00F02D20"/>
    <w:rsid w:val="00F03805"/>
    <w:rsid w:val="00F049C3"/>
    <w:rsid w:val="00F066C6"/>
    <w:rsid w:val="00F07F60"/>
    <w:rsid w:val="00F10A55"/>
    <w:rsid w:val="00F1128A"/>
    <w:rsid w:val="00F1218B"/>
    <w:rsid w:val="00F13B49"/>
    <w:rsid w:val="00F15061"/>
    <w:rsid w:val="00F15E29"/>
    <w:rsid w:val="00F16245"/>
    <w:rsid w:val="00F200F0"/>
    <w:rsid w:val="00F221D5"/>
    <w:rsid w:val="00F251BD"/>
    <w:rsid w:val="00F25DE8"/>
    <w:rsid w:val="00F318E7"/>
    <w:rsid w:val="00F32825"/>
    <w:rsid w:val="00F336F1"/>
    <w:rsid w:val="00F33763"/>
    <w:rsid w:val="00F33C81"/>
    <w:rsid w:val="00F3592F"/>
    <w:rsid w:val="00F3721D"/>
    <w:rsid w:val="00F4073D"/>
    <w:rsid w:val="00F4165E"/>
    <w:rsid w:val="00F417CE"/>
    <w:rsid w:val="00F42977"/>
    <w:rsid w:val="00F45D91"/>
    <w:rsid w:val="00F4626E"/>
    <w:rsid w:val="00F50C9E"/>
    <w:rsid w:val="00F53118"/>
    <w:rsid w:val="00F5527E"/>
    <w:rsid w:val="00F564A1"/>
    <w:rsid w:val="00F56DD8"/>
    <w:rsid w:val="00F57029"/>
    <w:rsid w:val="00F60F73"/>
    <w:rsid w:val="00F61C53"/>
    <w:rsid w:val="00F62C66"/>
    <w:rsid w:val="00F62FE1"/>
    <w:rsid w:val="00F63C60"/>
    <w:rsid w:val="00F63CB5"/>
    <w:rsid w:val="00F66FB6"/>
    <w:rsid w:val="00F7012E"/>
    <w:rsid w:val="00F76292"/>
    <w:rsid w:val="00F77903"/>
    <w:rsid w:val="00F80860"/>
    <w:rsid w:val="00F848F0"/>
    <w:rsid w:val="00F85837"/>
    <w:rsid w:val="00F85FC5"/>
    <w:rsid w:val="00F86895"/>
    <w:rsid w:val="00F8696E"/>
    <w:rsid w:val="00F8777A"/>
    <w:rsid w:val="00F919DD"/>
    <w:rsid w:val="00F94E60"/>
    <w:rsid w:val="00F960F5"/>
    <w:rsid w:val="00F967E3"/>
    <w:rsid w:val="00F972EF"/>
    <w:rsid w:val="00FA0CF3"/>
    <w:rsid w:val="00FA3216"/>
    <w:rsid w:val="00FA3F46"/>
    <w:rsid w:val="00FA4D9E"/>
    <w:rsid w:val="00FA4FF7"/>
    <w:rsid w:val="00FA79DD"/>
    <w:rsid w:val="00FB0556"/>
    <w:rsid w:val="00FB0C34"/>
    <w:rsid w:val="00FB1A04"/>
    <w:rsid w:val="00FB592D"/>
    <w:rsid w:val="00FB6082"/>
    <w:rsid w:val="00FB6B90"/>
    <w:rsid w:val="00FB7068"/>
    <w:rsid w:val="00FC01ED"/>
    <w:rsid w:val="00FC0932"/>
    <w:rsid w:val="00FC0D59"/>
    <w:rsid w:val="00FC0DA1"/>
    <w:rsid w:val="00FC3FA9"/>
    <w:rsid w:val="00FC5AED"/>
    <w:rsid w:val="00FD15AA"/>
    <w:rsid w:val="00FD4605"/>
    <w:rsid w:val="00FD5281"/>
    <w:rsid w:val="00FD5CAB"/>
    <w:rsid w:val="00FE1542"/>
    <w:rsid w:val="00FE23DB"/>
    <w:rsid w:val="00FE40A7"/>
    <w:rsid w:val="00FF0039"/>
    <w:rsid w:val="00FF0DF9"/>
    <w:rsid w:val="00FF1431"/>
    <w:rsid w:val="00FF19AF"/>
    <w:rsid w:val="00FF33DE"/>
    <w:rsid w:val="00FF4503"/>
    <w:rsid w:val="00FF58CB"/>
    <w:rsid w:val="00FF686E"/>
    <w:rsid w:val="00FF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F8D62"/>
  <w15:docId w15:val="{3D17158C-EB8D-4C5A-96F4-144F1539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650FB"/>
    <w:pPr>
      <w:spacing w:line="360" w:lineRule="auto"/>
      <w:ind w:firstLineChars="200" w:firstLine="200"/>
    </w:pPr>
    <w:rPr>
      <w:noProof/>
      <w:sz w:val="24"/>
    </w:rPr>
  </w:style>
  <w:style w:type="paragraph" w:styleId="1">
    <w:name w:val="heading 1"/>
    <w:basedOn w:val="a9"/>
    <w:next w:val="a9"/>
    <w:link w:val="10"/>
    <w:uiPriority w:val="9"/>
    <w:qFormat/>
    <w:rsid w:val="00526B09"/>
    <w:pPr>
      <w:keepNext/>
      <w:keepLines/>
      <w:spacing w:before="340" w:after="330" w:line="578" w:lineRule="auto"/>
      <w:outlineLvl w:val="0"/>
    </w:pPr>
    <w:rPr>
      <w:b/>
      <w:bCs/>
      <w:kern w:val="44"/>
      <w:sz w:val="44"/>
      <w:szCs w:val="44"/>
    </w:rPr>
  </w:style>
  <w:style w:type="paragraph" w:styleId="2">
    <w:name w:val="heading 2"/>
    <w:basedOn w:val="a9"/>
    <w:next w:val="a9"/>
    <w:link w:val="20"/>
    <w:uiPriority w:val="9"/>
    <w:unhideWhenUsed/>
    <w:qFormat/>
    <w:rsid w:val="002421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9"/>
    <w:next w:val="a9"/>
    <w:link w:val="30"/>
    <w:uiPriority w:val="9"/>
    <w:unhideWhenUsed/>
    <w:qFormat/>
    <w:rsid w:val="00C1184E"/>
    <w:pPr>
      <w:keepNext/>
      <w:keepLines/>
      <w:spacing w:before="260" w:after="260" w:line="416" w:lineRule="auto"/>
      <w:outlineLvl w:val="2"/>
    </w:pPr>
    <w:rPr>
      <w:b/>
      <w:bCs/>
      <w:sz w:val="32"/>
      <w:szCs w:val="32"/>
    </w:rPr>
  </w:style>
  <w:style w:type="paragraph" w:styleId="4">
    <w:name w:val="heading 4"/>
    <w:basedOn w:val="a9"/>
    <w:next w:val="a9"/>
    <w:link w:val="40"/>
    <w:uiPriority w:val="9"/>
    <w:semiHidden/>
    <w:unhideWhenUsed/>
    <w:qFormat/>
    <w:rsid w:val="00BB046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d">
    <w:name w:val="Body Text"/>
    <w:basedOn w:val="a9"/>
    <w:semiHidden/>
    <w:qFormat/>
    <w:rPr>
      <w:rFonts w:eastAsia="Arial"/>
    </w:rPr>
  </w:style>
  <w:style w:type="paragraph" w:styleId="ae">
    <w:name w:val="Balloon Text"/>
    <w:basedOn w:val="a9"/>
    <w:link w:val="af"/>
    <w:uiPriority w:val="99"/>
    <w:semiHidden/>
    <w:unhideWhenUsed/>
    <w:rsid w:val="00B42B80"/>
    <w:rPr>
      <w:sz w:val="18"/>
      <w:szCs w:val="18"/>
    </w:rPr>
  </w:style>
  <w:style w:type="character" w:customStyle="1" w:styleId="af">
    <w:name w:val="批注框文本 字符"/>
    <w:basedOn w:val="aa"/>
    <w:link w:val="ae"/>
    <w:uiPriority w:val="99"/>
    <w:semiHidden/>
    <w:rsid w:val="00B42B80"/>
    <w:rPr>
      <w:noProof/>
      <w:sz w:val="18"/>
      <w:szCs w:val="18"/>
    </w:rPr>
  </w:style>
  <w:style w:type="paragraph" w:styleId="af0">
    <w:name w:val="header"/>
    <w:basedOn w:val="a9"/>
    <w:link w:val="af1"/>
    <w:uiPriority w:val="99"/>
    <w:unhideWhenUsed/>
    <w:rsid w:val="00CA2259"/>
    <w:pPr>
      <w:pBdr>
        <w:bottom w:val="single" w:sz="6" w:space="1" w:color="auto"/>
      </w:pBdr>
      <w:tabs>
        <w:tab w:val="center" w:pos="4153"/>
        <w:tab w:val="right" w:pos="8306"/>
      </w:tabs>
      <w:jc w:val="center"/>
    </w:pPr>
    <w:rPr>
      <w:sz w:val="18"/>
      <w:szCs w:val="18"/>
    </w:rPr>
  </w:style>
  <w:style w:type="character" w:customStyle="1" w:styleId="af1">
    <w:name w:val="页眉 字符"/>
    <w:basedOn w:val="aa"/>
    <w:link w:val="af0"/>
    <w:uiPriority w:val="99"/>
    <w:rsid w:val="00CA2259"/>
    <w:rPr>
      <w:noProof/>
      <w:sz w:val="18"/>
      <w:szCs w:val="18"/>
    </w:rPr>
  </w:style>
  <w:style w:type="paragraph" w:styleId="af2">
    <w:name w:val="footer"/>
    <w:basedOn w:val="a9"/>
    <w:link w:val="af3"/>
    <w:uiPriority w:val="99"/>
    <w:unhideWhenUsed/>
    <w:rsid w:val="00CA2259"/>
    <w:pPr>
      <w:tabs>
        <w:tab w:val="center" w:pos="4153"/>
        <w:tab w:val="right" w:pos="8306"/>
      </w:tabs>
    </w:pPr>
    <w:rPr>
      <w:sz w:val="18"/>
      <w:szCs w:val="18"/>
    </w:rPr>
  </w:style>
  <w:style w:type="character" w:customStyle="1" w:styleId="af3">
    <w:name w:val="页脚 字符"/>
    <w:basedOn w:val="aa"/>
    <w:link w:val="af2"/>
    <w:uiPriority w:val="99"/>
    <w:rsid w:val="00CA2259"/>
    <w:rPr>
      <w:noProof/>
      <w:sz w:val="18"/>
      <w:szCs w:val="18"/>
    </w:rPr>
  </w:style>
  <w:style w:type="paragraph" w:customStyle="1" w:styleId="af4">
    <w:name w:val="标准文件_标准正文"/>
    <w:basedOn w:val="a9"/>
    <w:next w:val="af5"/>
    <w:rsid w:val="0080377D"/>
    <w:pPr>
      <w:widowControl w:val="0"/>
      <w:spacing w:line="400" w:lineRule="exact"/>
      <w:jc w:val="both"/>
    </w:pPr>
    <w:rPr>
      <w:rFonts w:ascii="Calibri" w:eastAsia="宋体" w:hAnsi="Calibri" w:cs="Times New Roman"/>
      <w:noProof w:val="0"/>
      <w:snapToGrid/>
      <w:color w:val="auto"/>
      <w:lang w:eastAsia="zh-CN"/>
    </w:rPr>
  </w:style>
  <w:style w:type="paragraph" w:customStyle="1" w:styleId="af5">
    <w:name w:val="标准文件_段"/>
    <w:link w:val="Char"/>
    <w:rsid w:val="0080377D"/>
    <w:pPr>
      <w:autoSpaceDE w:val="0"/>
      <w:autoSpaceDN w:val="0"/>
      <w:ind w:firstLineChars="200" w:firstLine="200"/>
      <w:jc w:val="both"/>
    </w:pPr>
    <w:rPr>
      <w:rFonts w:ascii="宋体" w:eastAsia="宋体" w:hAnsi="Times New Roman" w:cs="Times New Roman"/>
      <w:noProof/>
      <w:snapToGrid/>
      <w:color w:val="auto"/>
      <w:szCs w:val="20"/>
      <w:lang w:eastAsia="zh-CN"/>
    </w:rPr>
  </w:style>
  <w:style w:type="paragraph" w:customStyle="1" w:styleId="a5">
    <w:name w:val="标准文件_二级条标题"/>
    <w:next w:val="af5"/>
    <w:rsid w:val="0080377D"/>
    <w:pPr>
      <w:widowControl w:val="0"/>
      <w:numPr>
        <w:ilvl w:val="3"/>
        <w:numId w:val="1"/>
      </w:numPr>
      <w:spacing w:beforeLines="50" w:before="50" w:afterLines="50" w:after="50"/>
      <w:jc w:val="both"/>
      <w:outlineLvl w:val="2"/>
    </w:pPr>
    <w:rPr>
      <w:rFonts w:ascii="黑体" w:eastAsia="黑体" w:hAnsi="Times New Roman" w:cs="Times New Roman"/>
      <w:snapToGrid/>
      <w:color w:val="auto"/>
      <w:szCs w:val="20"/>
      <w:lang w:eastAsia="zh-CN"/>
    </w:rPr>
  </w:style>
  <w:style w:type="paragraph" w:customStyle="1" w:styleId="a6">
    <w:name w:val="标准文件_三级条标题"/>
    <w:basedOn w:val="a5"/>
    <w:next w:val="af5"/>
    <w:rsid w:val="0080377D"/>
    <w:pPr>
      <w:widowControl/>
      <w:numPr>
        <w:ilvl w:val="4"/>
      </w:numPr>
      <w:outlineLvl w:val="3"/>
    </w:pPr>
  </w:style>
  <w:style w:type="paragraph" w:customStyle="1" w:styleId="a7">
    <w:name w:val="标准文件_四级条标题"/>
    <w:next w:val="af5"/>
    <w:rsid w:val="0080377D"/>
    <w:pPr>
      <w:widowControl w:val="0"/>
      <w:numPr>
        <w:ilvl w:val="5"/>
        <w:numId w:val="1"/>
      </w:numPr>
      <w:spacing w:beforeLines="50" w:before="50" w:afterLines="50" w:after="50"/>
      <w:jc w:val="both"/>
      <w:outlineLvl w:val="4"/>
    </w:pPr>
    <w:rPr>
      <w:rFonts w:ascii="黑体" w:eastAsia="黑体" w:hAnsi="Times New Roman" w:cs="Times New Roman"/>
      <w:snapToGrid/>
      <w:color w:val="auto"/>
      <w:szCs w:val="20"/>
      <w:lang w:eastAsia="zh-CN"/>
    </w:rPr>
  </w:style>
  <w:style w:type="paragraph" w:customStyle="1" w:styleId="a8">
    <w:name w:val="标准文件_五级条标题"/>
    <w:next w:val="af5"/>
    <w:rsid w:val="0080377D"/>
    <w:pPr>
      <w:widowControl w:val="0"/>
      <w:numPr>
        <w:ilvl w:val="6"/>
        <w:numId w:val="1"/>
      </w:numPr>
      <w:spacing w:beforeLines="50" w:before="50" w:afterLines="50" w:after="50"/>
      <w:jc w:val="both"/>
      <w:outlineLvl w:val="5"/>
    </w:pPr>
    <w:rPr>
      <w:rFonts w:ascii="黑体" w:eastAsia="黑体" w:hAnsi="Times New Roman" w:cs="Times New Roman"/>
      <w:snapToGrid/>
      <w:color w:val="auto"/>
      <w:szCs w:val="20"/>
      <w:lang w:eastAsia="zh-CN"/>
    </w:rPr>
  </w:style>
  <w:style w:type="paragraph" w:customStyle="1" w:styleId="a3">
    <w:name w:val="标准文件_章标题"/>
    <w:next w:val="af5"/>
    <w:rsid w:val="0080377D"/>
    <w:pPr>
      <w:numPr>
        <w:ilvl w:val="1"/>
        <w:numId w:val="1"/>
      </w:numPr>
      <w:spacing w:beforeLines="100" w:before="100" w:afterLines="100" w:after="100"/>
      <w:ind w:left="0"/>
      <w:jc w:val="both"/>
      <w:outlineLvl w:val="0"/>
    </w:pPr>
    <w:rPr>
      <w:rFonts w:ascii="黑体" w:eastAsia="黑体" w:hAnsi="Times New Roman" w:cs="Times New Roman"/>
      <w:snapToGrid/>
      <w:color w:val="auto"/>
      <w:szCs w:val="20"/>
      <w:lang w:eastAsia="zh-CN"/>
    </w:rPr>
  </w:style>
  <w:style w:type="paragraph" w:customStyle="1" w:styleId="a4">
    <w:name w:val="标准文件_一级条标题"/>
    <w:basedOn w:val="a3"/>
    <w:next w:val="af5"/>
    <w:rsid w:val="0080377D"/>
    <w:pPr>
      <w:numPr>
        <w:ilvl w:val="2"/>
      </w:numPr>
      <w:spacing w:beforeLines="50" w:before="50" w:afterLines="50" w:after="50"/>
      <w:ind w:left="1985"/>
      <w:outlineLvl w:val="1"/>
    </w:pPr>
  </w:style>
  <w:style w:type="paragraph" w:customStyle="1" w:styleId="af6">
    <w:name w:val="标准文件_正文公式"/>
    <w:basedOn w:val="a9"/>
    <w:next w:val="af4"/>
    <w:rsid w:val="0080377D"/>
    <w:pPr>
      <w:widowControl w:val="0"/>
      <w:tabs>
        <w:tab w:val="center" w:pos="4678"/>
        <w:tab w:val="right" w:leader="middleDot" w:pos="9356"/>
      </w:tabs>
      <w:jc w:val="both"/>
    </w:pPr>
    <w:rPr>
      <w:rFonts w:ascii="宋体" w:eastAsia="宋体" w:hAnsi="宋体" w:cs="Times New Roman"/>
      <w:noProof w:val="0"/>
      <w:snapToGrid/>
      <w:color w:val="auto"/>
      <w:kern w:val="2"/>
      <w:lang w:eastAsia="zh-CN"/>
    </w:rPr>
  </w:style>
  <w:style w:type="paragraph" w:customStyle="1" w:styleId="a2">
    <w:name w:val="前言标题"/>
    <w:next w:val="a9"/>
    <w:rsid w:val="0080377D"/>
    <w:pPr>
      <w:numPr>
        <w:numId w:val="1"/>
      </w:numPr>
      <w:shd w:val="clear" w:color="FFFFFF" w:fill="FFFFFF"/>
      <w:spacing w:before="540" w:after="600"/>
      <w:jc w:val="center"/>
      <w:outlineLvl w:val="0"/>
    </w:pPr>
    <w:rPr>
      <w:rFonts w:ascii="黑体" w:eastAsia="黑体" w:hAnsi="Times New Roman" w:cs="Times New Roman"/>
      <w:snapToGrid/>
      <w:color w:val="auto"/>
      <w:sz w:val="32"/>
      <w:szCs w:val="20"/>
      <w:lang w:eastAsia="zh-CN"/>
    </w:rPr>
  </w:style>
  <w:style w:type="character" w:customStyle="1" w:styleId="Char">
    <w:name w:val="标准文件_段 Char"/>
    <w:link w:val="af5"/>
    <w:rsid w:val="0080377D"/>
    <w:rPr>
      <w:rFonts w:ascii="宋体" w:eastAsia="宋体" w:hAnsi="Times New Roman" w:cs="Times New Roman"/>
      <w:noProof/>
      <w:snapToGrid/>
      <w:color w:val="auto"/>
      <w:szCs w:val="20"/>
      <w:lang w:eastAsia="zh-CN"/>
    </w:rPr>
  </w:style>
  <w:style w:type="paragraph" w:customStyle="1" w:styleId="a0">
    <w:name w:val="标准文件_数字编号列项（二级）"/>
    <w:rsid w:val="00AB7DF6"/>
    <w:pPr>
      <w:numPr>
        <w:ilvl w:val="1"/>
        <w:numId w:val="2"/>
      </w:numPr>
      <w:jc w:val="both"/>
    </w:pPr>
    <w:rPr>
      <w:rFonts w:ascii="宋体" w:eastAsia="宋体" w:hAnsi="Times New Roman" w:cs="Times New Roman"/>
      <w:snapToGrid/>
      <w:color w:val="auto"/>
      <w:szCs w:val="20"/>
      <w:lang w:eastAsia="zh-CN"/>
    </w:rPr>
  </w:style>
  <w:style w:type="paragraph" w:customStyle="1" w:styleId="a1">
    <w:name w:val="标准文件_编号列项（三级）"/>
    <w:rsid w:val="00AB7DF6"/>
    <w:pPr>
      <w:numPr>
        <w:ilvl w:val="2"/>
        <w:numId w:val="2"/>
      </w:numPr>
    </w:pPr>
    <w:rPr>
      <w:rFonts w:ascii="宋体" w:eastAsia="宋体" w:hAnsi="Times New Roman" w:cs="Times New Roman"/>
      <w:snapToGrid/>
      <w:color w:val="auto"/>
      <w:szCs w:val="20"/>
      <w:lang w:eastAsia="zh-CN"/>
    </w:rPr>
  </w:style>
  <w:style w:type="paragraph" w:customStyle="1" w:styleId="a">
    <w:name w:val="标准文件_字母编号列项（一级）"/>
    <w:rsid w:val="00AB7DF6"/>
    <w:pPr>
      <w:numPr>
        <w:numId w:val="2"/>
      </w:numPr>
      <w:jc w:val="both"/>
    </w:pPr>
    <w:rPr>
      <w:rFonts w:ascii="宋体" w:eastAsia="宋体" w:hAnsi="Times New Roman" w:cs="Times New Roman"/>
      <w:snapToGrid/>
      <w:color w:val="auto"/>
      <w:szCs w:val="20"/>
      <w:lang w:eastAsia="zh-CN"/>
    </w:rPr>
  </w:style>
  <w:style w:type="table" w:styleId="af7">
    <w:name w:val="Table Grid"/>
    <w:basedOn w:val="ab"/>
    <w:uiPriority w:val="59"/>
    <w:rsid w:val="007B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a"/>
    <w:uiPriority w:val="99"/>
    <w:semiHidden/>
    <w:unhideWhenUsed/>
    <w:rsid w:val="00DD03C5"/>
    <w:rPr>
      <w:sz w:val="21"/>
      <w:szCs w:val="21"/>
    </w:rPr>
  </w:style>
  <w:style w:type="paragraph" w:styleId="af9">
    <w:name w:val="annotation text"/>
    <w:basedOn w:val="a9"/>
    <w:link w:val="afa"/>
    <w:uiPriority w:val="99"/>
    <w:semiHidden/>
    <w:unhideWhenUsed/>
    <w:rsid w:val="00DD03C5"/>
  </w:style>
  <w:style w:type="character" w:customStyle="1" w:styleId="afa">
    <w:name w:val="批注文字 字符"/>
    <w:basedOn w:val="aa"/>
    <w:link w:val="af9"/>
    <w:uiPriority w:val="99"/>
    <w:semiHidden/>
    <w:rsid w:val="00DD03C5"/>
    <w:rPr>
      <w:noProof/>
    </w:rPr>
  </w:style>
  <w:style w:type="paragraph" w:styleId="afb">
    <w:name w:val="annotation subject"/>
    <w:basedOn w:val="af9"/>
    <w:next w:val="af9"/>
    <w:link w:val="afc"/>
    <w:uiPriority w:val="99"/>
    <w:semiHidden/>
    <w:unhideWhenUsed/>
    <w:rsid w:val="00DD03C5"/>
    <w:rPr>
      <w:b/>
      <w:bCs/>
    </w:rPr>
  </w:style>
  <w:style w:type="character" w:customStyle="1" w:styleId="afc">
    <w:name w:val="批注主题 字符"/>
    <w:basedOn w:val="afa"/>
    <w:link w:val="afb"/>
    <w:uiPriority w:val="99"/>
    <w:semiHidden/>
    <w:rsid w:val="00DD03C5"/>
    <w:rPr>
      <w:b/>
      <w:bCs/>
      <w:noProof/>
    </w:rPr>
  </w:style>
  <w:style w:type="table" w:customStyle="1" w:styleId="11">
    <w:name w:val="浅色底纹1"/>
    <w:basedOn w:val="ab"/>
    <w:uiPriority w:val="60"/>
    <w:qFormat/>
    <w:rsid w:val="00342589"/>
    <w:rPr>
      <w:rFonts w:ascii="Times New Roman" w:eastAsia="宋体" w:hAnsi="Times New Roman" w:cs="Times New Roman"/>
      <w:snapToGrid/>
      <w:color w:val="000000" w:themeColor="text1" w:themeShade="BF"/>
      <w:sz w:val="20"/>
      <w:szCs w:val="20"/>
      <w:lang w:eastAsia="zh-CN"/>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Revision"/>
    <w:hidden/>
    <w:uiPriority w:val="99"/>
    <w:semiHidden/>
    <w:rsid w:val="003A7295"/>
    <w:rPr>
      <w:noProof/>
    </w:rPr>
  </w:style>
  <w:style w:type="character" w:customStyle="1" w:styleId="10">
    <w:name w:val="标题 1 字符"/>
    <w:basedOn w:val="aa"/>
    <w:link w:val="1"/>
    <w:uiPriority w:val="9"/>
    <w:rsid w:val="00526B09"/>
    <w:rPr>
      <w:b/>
      <w:bCs/>
      <w:noProof/>
      <w:kern w:val="44"/>
      <w:sz w:val="44"/>
      <w:szCs w:val="44"/>
    </w:rPr>
  </w:style>
  <w:style w:type="character" w:customStyle="1" w:styleId="40">
    <w:name w:val="标题 4 字符"/>
    <w:basedOn w:val="aa"/>
    <w:link w:val="4"/>
    <w:uiPriority w:val="9"/>
    <w:semiHidden/>
    <w:rsid w:val="00BB046B"/>
    <w:rPr>
      <w:rFonts w:asciiTheme="majorHAnsi" w:eastAsiaTheme="majorEastAsia" w:hAnsiTheme="majorHAnsi" w:cstheme="majorBidi"/>
      <w:b/>
      <w:bCs/>
      <w:noProof/>
      <w:sz w:val="28"/>
      <w:szCs w:val="28"/>
    </w:rPr>
  </w:style>
  <w:style w:type="character" w:styleId="afe">
    <w:name w:val="Strong"/>
    <w:basedOn w:val="aa"/>
    <w:uiPriority w:val="22"/>
    <w:qFormat/>
    <w:rsid w:val="00BB046B"/>
    <w:rPr>
      <w:b/>
      <w:bCs/>
    </w:rPr>
  </w:style>
  <w:style w:type="character" w:customStyle="1" w:styleId="30">
    <w:name w:val="标题 3 字符"/>
    <w:basedOn w:val="aa"/>
    <w:link w:val="3"/>
    <w:uiPriority w:val="9"/>
    <w:rsid w:val="00C1184E"/>
    <w:rPr>
      <w:b/>
      <w:bCs/>
      <w:noProof/>
      <w:sz w:val="32"/>
      <w:szCs w:val="32"/>
    </w:rPr>
  </w:style>
  <w:style w:type="character" w:customStyle="1" w:styleId="20">
    <w:name w:val="标题 2 字符"/>
    <w:basedOn w:val="aa"/>
    <w:link w:val="2"/>
    <w:uiPriority w:val="9"/>
    <w:rsid w:val="002421E2"/>
    <w:rPr>
      <w:rFonts w:asciiTheme="majorHAnsi" w:eastAsiaTheme="majorEastAsia" w:hAnsiTheme="majorHAnsi" w:cstheme="majorBidi"/>
      <w:b/>
      <w:bCs/>
      <w:noProo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1206">
      <w:bodyDiv w:val="1"/>
      <w:marLeft w:val="0"/>
      <w:marRight w:val="0"/>
      <w:marTop w:val="0"/>
      <w:marBottom w:val="0"/>
      <w:divBdr>
        <w:top w:val="none" w:sz="0" w:space="0" w:color="auto"/>
        <w:left w:val="none" w:sz="0" w:space="0" w:color="auto"/>
        <w:bottom w:val="none" w:sz="0" w:space="0" w:color="auto"/>
        <w:right w:val="none" w:sz="0" w:space="0" w:color="auto"/>
      </w:divBdr>
    </w:div>
    <w:div w:id="163473870">
      <w:bodyDiv w:val="1"/>
      <w:marLeft w:val="0"/>
      <w:marRight w:val="0"/>
      <w:marTop w:val="0"/>
      <w:marBottom w:val="0"/>
      <w:divBdr>
        <w:top w:val="none" w:sz="0" w:space="0" w:color="auto"/>
        <w:left w:val="none" w:sz="0" w:space="0" w:color="auto"/>
        <w:bottom w:val="none" w:sz="0" w:space="0" w:color="auto"/>
        <w:right w:val="none" w:sz="0" w:space="0" w:color="auto"/>
      </w:divBdr>
    </w:div>
    <w:div w:id="182595341">
      <w:bodyDiv w:val="1"/>
      <w:marLeft w:val="0"/>
      <w:marRight w:val="0"/>
      <w:marTop w:val="0"/>
      <w:marBottom w:val="0"/>
      <w:divBdr>
        <w:top w:val="none" w:sz="0" w:space="0" w:color="auto"/>
        <w:left w:val="none" w:sz="0" w:space="0" w:color="auto"/>
        <w:bottom w:val="none" w:sz="0" w:space="0" w:color="auto"/>
        <w:right w:val="none" w:sz="0" w:space="0" w:color="auto"/>
      </w:divBdr>
    </w:div>
    <w:div w:id="185486518">
      <w:bodyDiv w:val="1"/>
      <w:marLeft w:val="0"/>
      <w:marRight w:val="0"/>
      <w:marTop w:val="0"/>
      <w:marBottom w:val="0"/>
      <w:divBdr>
        <w:top w:val="none" w:sz="0" w:space="0" w:color="auto"/>
        <w:left w:val="none" w:sz="0" w:space="0" w:color="auto"/>
        <w:bottom w:val="none" w:sz="0" w:space="0" w:color="auto"/>
        <w:right w:val="none" w:sz="0" w:space="0" w:color="auto"/>
      </w:divBdr>
    </w:div>
    <w:div w:id="217593390">
      <w:bodyDiv w:val="1"/>
      <w:marLeft w:val="0"/>
      <w:marRight w:val="0"/>
      <w:marTop w:val="0"/>
      <w:marBottom w:val="0"/>
      <w:divBdr>
        <w:top w:val="none" w:sz="0" w:space="0" w:color="auto"/>
        <w:left w:val="none" w:sz="0" w:space="0" w:color="auto"/>
        <w:bottom w:val="none" w:sz="0" w:space="0" w:color="auto"/>
        <w:right w:val="none" w:sz="0" w:space="0" w:color="auto"/>
      </w:divBdr>
    </w:div>
    <w:div w:id="234241213">
      <w:bodyDiv w:val="1"/>
      <w:marLeft w:val="0"/>
      <w:marRight w:val="0"/>
      <w:marTop w:val="0"/>
      <w:marBottom w:val="0"/>
      <w:divBdr>
        <w:top w:val="none" w:sz="0" w:space="0" w:color="auto"/>
        <w:left w:val="none" w:sz="0" w:space="0" w:color="auto"/>
        <w:bottom w:val="none" w:sz="0" w:space="0" w:color="auto"/>
        <w:right w:val="none" w:sz="0" w:space="0" w:color="auto"/>
      </w:divBdr>
    </w:div>
    <w:div w:id="266812014">
      <w:bodyDiv w:val="1"/>
      <w:marLeft w:val="0"/>
      <w:marRight w:val="0"/>
      <w:marTop w:val="0"/>
      <w:marBottom w:val="0"/>
      <w:divBdr>
        <w:top w:val="none" w:sz="0" w:space="0" w:color="auto"/>
        <w:left w:val="none" w:sz="0" w:space="0" w:color="auto"/>
        <w:bottom w:val="none" w:sz="0" w:space="0" w:color="auto"/>
        <w:right w:val="none" w:sz="0" w:space="0" w:color="auto"/>
      </w:divBdr>
    </w:div>
    <w:div w:id="275403401">
      <w:bodyDiv w:val="1"/>
      <w:marLeft w:val="0"/>
      <w:marRight w:val="0"/>
      <w:marTop w:val="0"/>
      <w:marBottom w:val="0"/>
      <w:divBdr>
        <w:top w:val="none" w:sz="0" w:space="0" w:color="auto"/>
        <w:left w:val="none" w:sz="0" w:space="0" w:color="auto"/>
        <w:bottom w:val="none" w:sz="0" w:space="0" w:color="auto"/>
        <w:right w:val="none" w:sz="0" w:space="0" w:color="auto"/>
      </w:divBdr>
    </w:div>
    <w:div w:id="332605228">
      <w:bodyDiv w:val="1"/>
      <w:marLeft w:val="0"/>
      <w:marRight w:val="0"/>
      <w:marTop w:val="0"/>
      <w:marBottom w:val="0"/>
      <w:divBdr>
        <w:top w:val="none" w:sz="0" w:space="0" w:color="auto"/>
        <w:left w:val="none" w:sz="0" w:space="0" w:color="auto"/>
        <w:bottom w:val="none" w:sz="0" w:space="0" w:color="auto"/>
        <w:right w:val="none" w:sz="0" w:space="0" w:color="auto"/>
      </w:divBdr>
    </w:div>
    <w:div w:id="339359846">
      <w:bodyDiv w:val="1"/>
      <w:marLeft w:val="0"/>
      <w:marRight w:val="0"/>
      <w:marTop w:val="0"/>
      <w:marBottom w:val="0"/>
      <w:divBdr>
        <w:top w:val="none" w:sz="0" w:space="0" w:color="auto"/>
        <w:left w:val="none" w:sz="0" w:space="0" w:color="auto"/>
        <w:bottom w:val="none" w:sz="0" w:space="0" w:color="auto"/>
        <w:right w:val="none" w:sz="0" w:space="0" w:color="auto"/>
      </w:divBdr>
    </w:div>
    <w:div w:id="351884371">
      <w:bodyDiv w:val="1"/>
      <w:marLeft w:val="0"/>
      <w:marRight w:val="0"/>
      <w:marTop w:val="0"/>
      <w:marBottom w:val="0"/>
      <w:divBdr>
        <w:top w:val="none" w:sz="0" w:space="0" w:color="auto"/>
        <w:left w:val="none" w:sz="0" w:space="0" w:color="auto"/>
        <w:bottom w:val="none" w:sz="0" w:space="0" w:color="auto"/>
        <w:right w:val="none" w:sz="0" w:space="0" w:color="auto"/>
      </w:divBdr>
    </w:div>
    <w:div w:id="379210340">
      <w:bodyDiv w:val="1"/>
      <w:marLeft w:val="0"/>
      <w:marRight w:val="0"/>
      <w:marTop w:val="0"/>
      <w:marBottom w:val="0"/>
      <w:divBdr>
        <w:top w:val="none" w:sz="0" w:space="0" w:color="auto"/>
        <w:left w:val="none" w:sz="0" w:space="0" w:color="auto"/>
        <w:bottom w:val="none" w:sz="0" w:space="0" w:color="auto"/>
        <w:right w:val="none" w:sz="0" w:space="0" w:color="auto"/>
      </w:divBdr>
    </w:div>
    <w:div w:id="446777846">
      <w:bodyDiv w:val="1"/>
      <w:marLeft w:val="0"/>
      <w:marRight w:val="0"/>
      <w:marTop w:val="0"/>
      <w:marBottom w:val="0"/>
      <w:divBdr>
        <w:top w:val="none" w:sz="0" w:space="0" w:color="auto"/>
        <w:left w:val="none" w:sz="0" w:space="0" w:color="auto"/>
        <w:bottom w:val="none" w:sz="0" w:space="0" w:color="auto"/>
        <w:right w:val="none" w:sz="0" w:space="0" w:color="auto"/>
      </w:divBdr>
    </w:div>
    <w:div w:id="454297122">
      <w:bodyDiv w:val="1"/>
      <w:marLeft w:val="0"/>
      <w:marRight w:val="0"/>
      <w:marTop w:val="0"/>
      <w:marBottom w:val="0"/>
      <w:divBdr>
        <w:top w:val="none" w:sz="0" w:space="0" w:color="auto"/>
        <w:left w:val="none" w:sz="0" w:space="0" w:color="auto"/>
        <w:bottom w:val="none" w:sz="0" w:space="0" w:color="auto"/>
        <w:right w:val="none" w:sz="0" w:space="0" w:color="auto"/>
      </w:divBdr>
    </w:div>
    <w:div w:id="515846275">
      <w:bodyDiv w:val="1"/>
      <w:marLeft w:val="0"/>
      <w:marRight w:val="0"/>
      <w:marTop w:val="0"/>
      <w:marBottom w:val="0"/>
      <w:divBdr>
        <w:top w:val="none" w:sz="0" w:space="0" w:color="auto"/>
        <w:left w:val="none" w:sz="0" w:space="0" w:color="auto"/>
        <w:bottom w:val="none" w:sz="0" w:space="0" w:color="auto"/>
        <w:right w:val="none" w:sz="0" w:space="0" w:color="auto"/>
      </w:divBdr>
    </w:div>
    <w:div w:id="592400758">
      <w:bodyDiv w:val="1"/>
      <w:marLeft w:val="0"/>
      <w:marRight w:val="0"/>
      <w:marTop w:val="0"/>
      <w:marBottom w:val="0"/>
      <w:divBdr>
        <w:top w:val="none" w:sz="0" w:space="0" w:color="auto"/>
        <w:left w:val="none" w:sz="0" w:space="0" w:color="auto"/>
        <w:bottom w:val="none" w:sz="0" w:space="0" w:color="auto"/>
        <w:right w:val="none" w:sz="0" w:space="0" w:color="auto"/>
      </w:divBdr>
      <w:divsChild>
        <w:div w:id="674920964">
          <w:marLeft w:val="446"/>
          <w:marRight w:val="0"/>
          <w:marTop w:val="120"/>
          <w:marBottom w:val="120"/>
          <w:divBdr>
            <w:top w:val="none" w:sz="0" w:space="0" w:color="auto"/>
            <w:left w:val="none" w:sz="0" w:space="0" w:color="auto"/>
            <w:bottom w:val="none" w:sz="0" w:space="0" w:color="auto"/>
            <w:right w:val="none" w:sz="0" w:space="0" w:color="auto"/>
          </w:divBdr>
        </w:div>
      </w:divsChild>
    </w:div>
    <w:div w:id="633020046">
      <w:bodyDiv w:val="1"/>
      <w:marLeft w:val="0"/>
      <w:marRight w:val="0"/>
      <w:marTop w:val="0"/>
      <w:marBottom w:val="0"/>
      <w:divBdr>
        <w:top w:val="none" w:sz="0" w:space="0" w:color="auto"/>
        <w:left w:val="none" w:sz="0" w:space="0" w:color="auto"/>
        <w:bottom w:val="none" w:sz="0" w:space="0" w:color="auto"/>
        <w:right w:val="none" w:sz="0" w:space="0" w:color="auto"/>
      </w:divBdr>
    </w:div>
    <w:div w:id="642085024">
      <w:bodyDiv w:val="1"/>
      <w:marLeft w:val="0"/>
      <w:marRight w:val="0"/>
      <w:marTop w:val="0"/>
      <w:marBottom w:val="0"/>
      <w:divBdr>
        <w:top w:val="none" w:sz="0" w:space="0" w:color="auto"/>
        <w:left w:val="none" w:sz="0" w:space="0" w:color="auto"/>
        <w:bottom w:val="none" w:sz="0" w:space="0" w:color="auto"/>
        <w:right w:val="none" w:sz="0" w:space="0" w:color="auto"/>
      </w:divBdr>
    </w:div>
    <w:div w:id="824513613">
      <w:bodyDiv w:val="1"/>
      <w:marLeft w:val="0"/>
      <w:marRight w:val="0"/>
      <w:marTop w:val="0"/>
      <w:marBottom w:val="0"/>
      <w:divBdr>
        <w:top w:val="none" w:sz="0" w:space="0" w:color="auto"/>
        <w:left w:val="none" w:sz="0" w:space="0" w:color="auto"/>
        <w:bottom w:val="none" w:sz="0" w:space="0" w:color="auto"/>
        <w:right w:val="none" w:sz="0" w:space="0" w:color="auto"/>
      </w:divBdr>
    </w:div>
    <w:div w:id="882055896">
      <w:bodyDiv w:val="1"/>
      <w:marLeft w:val="0"/>
      <w:marRight w:val="0"/>
      <w:marTop w:val="0"/>
      <w:marBottom w:val="0"/>
      <w:divBdr>
        <w:top w:val="none" w:sz="0" w:space="0" w:color="auto"/>
        <w:left w:val="none" w:sz="0" w:space="0" w:color="auto"/>
        <w:bottom w:val="none" w:sz="0" w:space="0" w:color="auto"/>
        <w:right w:val="none" w:sz="0" w:space="0" w:color="auto"/>
      </w:divBdr>
    </w:div>
    <w:div w:id="1002463840">
      <w:bodyDiv w:val="1"/>
      <w:marLeft w:val="0"/>
      <w:marRight w:val="0"/>
      <w:marTop w:val="0"/>
      <w:marBottom w:val="0"/>
      <w:divBdr>
        <w:top w:val="none" w:sz="0" w:space="0" w:color="auto"/>
        <w:left w:val="none" w:sz="0" w:space="0" w:color="auto"/>
        <w:bottom w:val="none" w:sz="0" w:space="0" w:color="auto"/>
        <w:right w:val="none" w:sz="0" w:space="0" w:color="auto"/>
      </w:divBdr>
    </w:div>
    <w:div w:id="1067874164">
      <w:bodyDiv w:val="1"/>
      <w:marLeft w:val="0"/>
      <w:marRight w:val="0"/>
      <w:marTop w:val="0"/>
      <w:marBottom w:val="0"/>
      <w:divBdr>
        <w:top w:val="none" w:sz="0" w:space="0" w:color="auto"/>
        <w:left w:val="none" w:sz="0" w:space="0" w:color="auto"/>
        <w:bottom w:val="none" w:sz="0" w:space="0" w:color="auto"/>
        <w:right w:val="none" w:sz="0" w:space="0" w:color="auto"/>
      </w:divBdr>
    </w:div>
    <w:div w:id="1090348977">
      <w:bodyDiv w:val="1"/>
      <w:marLeft w:val="0"/>
      <w:marRight w:val="0"/>
      <w:marTop w:val="0"/>
      <w:marBottom w:val="0"/>
      <w:divBdr>
        <w:top w:val="none" w:sz="0" w:space="0" w:color="auto"/>
        <w:left w:val="none" w:sz="0" w:space="0" w:color="auto"/>
        <w:bottom w:val="none" w:sz="0" w:space="0" w:color="auto"/>
        <w:right w:val="none" w:sz="0" w:space="0" w:color="auto"/>
      </w:divBdr>
    </w:div>
    <w:div w:id="1113288430">
      <w:bodyDiv w:val="1"/>
      <w:marLeft w:val="0"/>
      <w:marRight w:val="0"/>
      <w:marTop w:val="0"/>
      <w:marBottom w:val="0"/>
      <w:divBdr>
        <w:top w:val="none" w:sz="0" w:space="0" w:color="auto"/>
        <w:left w:val="none" w:sz="0" w:space="0" w:color="auto"/>
        <w:bottom w:val="none" w:sz="0" w:space="0" w:color="auto"/>
        <w:right w:val="none" w:sz="0" w:space="0" w:color="auto"/>
      </w:divBdr>
    </w:div>
    <w:div w:id="1140462685">
      <w:bodyDiv w:val="1"/>
      <w:marLeft w:val="0"/>
      <w:marRight w:val="0"/>
      <w:marTop w:val="0"/>
      <w:marBottom w:val="0"/>
      <w:divBdr>
        <w:top w:val="none" w:sz="0" w:space="0" w:color="auto"/>
        <w:left w:val="none" w:sz="0" w:space="0" w:color="auto"/>
        <w:bottom w:val="none" w:sz="0" w:space="0" w:color="auto"/>
        <w:right w:val="none" w:sz="0" w:space="0" w:color="auto"/>
      </w:divBdr>
    </w:div>
    <w:div w:id="1176262111">
      <w:bodyDiv w:val="1"/>
      <w:marLeft w:val="0"/>
      <w:marRight w:val="0"/>
      <w:marTop w:val="0"/>
      <w:marBottom w:val="0"/>
      <w:divBdr>
        <w:top w:val="none" w:sz="0" w:space="0" w:color="auto"/>
        <w:left w:val="none" w:sz="0" w:space="0" w:color="auto"/>
        <w:bottom w:val="none" w:sz="0" w:space="0" w:color="auto"/>
        <w:right w:val="none" w:sz="0" w:space="0" w:color="auto"/>
      </w:divBdr>
    </w:div>
    <w:div w:id="1234200743">
      <w:bodyDiv w:val="1"/>
      <w:marLeft w:val="0"/>
      <w:marRight w:val="0"/>
      <w:marTop w:val="0"/>
      <w:marBottom w:val="0"/>
      <w:divBdr>
        <w:top w:val="none" w:sz="0" w:space="0" w:color="auto"/>
        <w:left w:val="none" w:sz="0" w:space="0" w:color="auto"/>
        <w:bottom w:val="none" w:sz="0" w:space="0" w:color="auto"/>
        <w:right w:val="none" w:sz="0" w:space="0" w:color="auto"/>
      </w:divBdr>
    </w:div>
    <w:div w:id="1256749603">
      <w:bodyDiv w:val="1"/>
      <w:marLeft w:val="0"/>
      <w:marRight w:val="0"/>
      <w:marTop w:val="0"/>
      <w:marBottom w:val="0"/>
      <w:divBdr>
        <w:top w:val="none" w:sz="0" w:space="0" w:color="auto"/>
        <w:left w:val="none" w:sz="0" w:space="0" w:color="auto"/>
        <w:bottom w:val="none" w:sz="0" w:space="0" w:color="auto"/>
        <w:right w:val="none" w:sz="0" w:space="0" w:color="auto"/>
      </w:divBdr>
    </w:div>
    <w:div w:id="1282035470">
      <w:bodyDiv w:val="1"/>
      <w:marLeft w:val="0"/>
      <w:marRight w:val="0"/>
      <w:marTop w:val="0"/>
      <w:marBottom w:val="0"/>
      <w:divBdr>
        <w:top w:val="none" w:sz="0" w:space="0" w:color="auto"/>
        <w:left w:val="none" w:sz="0" w:space="0" w:color="auto"/>
        <w:bottom w:val="none" w:sz="0" w:space="0" w:color="auto"/>
        <w:right w:val="none" w:sz="0" w:space="0" w:color="auto"/>
      </w:divBdr>
    </w:div>
    <w:div w:id="1317340701">
      <w:bodyDiv w:val="1"/>
      <w:marLeft w:val="0"/>
      <w:marRight w:val="0"/>
      <w:marTop w:val="0"/>
      <w:marBottom w:val="0"/>
      <w:divBdr>
        <w:top w:val="none" w:sz="0" w:space="0" w:color="auto"/>
        <w:left w:val="none" w:sz="0" w:space="0" w:color="auto"/>
        <w:bottom w:val="none" w:sz="0" w:space="0" w:color="auto"/>
        <w:right w:val="none" w:sz="0" w:space="0" w:color="auto"/>
      </w:divBdr>
    </w:div>
    <w:div w:id="1322386778">
      <w:bodyDiv w:val="1"/>
      <w:marLeft w:val="0"/>
      <w:marRight w:val="0"/>
      <w:marTop w:val="0"/>
      <w:marBottom w:val="0"/>
      <w:divBdr>
        <w:top w:val="none" w:sz="0" w:space="0" w:color="auto"/>
        <w:left w:val="none" w:sz="0" w:space="0" w:color="auto"/>
        <w:bottom w:val="none" w:sz="0" w:space="0" w:color="auto"/>
        <w:right w:val="none" w:sz="0" w:space="0" w:color="auto"/>
      </w:divBdr>
    </w:div>
    <w:div w:id="1368530058">
      <w:bodyDiv w:val="1"/>
      <w:marLeft w:val="0"/>
      <w:marRight w:val="0"/>
      <w:marTop w:val="0"/>
      <w:marBottom w:val="0"/>
      <w:divBdr>
        <w:top w:val="none" w:sz="0" w:space="0" w:color="auto"/>
        <w:left w:val="none" w:sz="0" w:space="0" w:color="auto"/>
        <w:bottom w:val="none" w:sz="0" w:space="0" w:color="auto"/>
        <w:right w:val="none" w:sz="0" w:space="0" w:color="auto"/>
      </w:divBdr>
    </w:div>
    <w:div w:id="1394156572">
      <w:bodyDiv w:val="1"/>
      <w:marLeft w:val="0"/>
      <w:marRight w:val="0"/>
      <w:marTop w:val="0"/>
      <w:marBottom w:val="0"/>
      <w:divBdr>
        <w:top w:val="none" w:sz="0" w:space="0" w:color="auto"/>
        <w:left w:val="none" w:sz="0" w:space="0" w:color="auto"/>
        <w:bottom w:val="none" w:sz="0" w:space="0" w:color="auto"/>
        <w:right w:val="none" w:sz="0" w:space="0" w:color="auto"/>
      </w:divBdr>
    </w:div>
    <w:div w:id="1420058757">
      <w:bodyDiv w:val="1"/>
      <w:marLeft w:val="0"/>
      <w:marRight w:val="0"/>
      <w:marTop w:val="0"/>
      <w:marBottom w:val="0"/>
      <w:divBdr>
        <w:top w:val="none" w:sz="0" w:space="0" w:color="auto"/>
        <w:left w:val="none" w:sz="0" w:space="0" w:color="auto"/>
        <w:bottom w:val="none" w:sz="0" w:space="0" w:color="auto"/>
        <w:right w:val="none" w:sz="0" w:space="0" w:color="auto"/>
      </w:divBdr>
    </w:div>
    <w:div w:id="1426145873">
      <w:bodyDiv w:val="1"/>
      <w:marLeft w:val="0"/>
      <w:marRight w:val="0"/>
      <w:marTop w:val="0"/>
      <w:marBottom w:val="0"/>
      <w:divBdr>
        <w:top w:val="none" w:sz="0" w:space="0" w:color="auto"/>
        <w:left w:val="none" w:sz="0" w:space="0" w:color="auto"/>
        <w:bottom w:val="none" w:sz="0" w:space="0" w:color="auto"/>
        <w:right w:val="none" w:sz="0" w:space="0" w:color="auto"/>
      </w:divBdr>
    </w:div>
    <w:div w:id="1427657352">
      <w:bodyDiv w:val="1"/>
      <w:marLeft w:val="0"/>
      <w:marRight w:val="0"/>
      <w:marTop w:val="0"/>
      <w:marBottom w:val="0"/>
      <w:divBdr>
        <w:top w:val="none" w:sz="0" w:space="0" w:color="auto"/>
        <w:left w:val="none" w:sz="0" w:space="0" w:color="auto"/>
        <w:bottom w:val="none" w:sz="0" w:space="0" w:color="auto"/>
        <w:right w:val="none" w:sz="0" w:space="0" w:color="auto"/>
      </w:divBdr>
    </w:div>
    <w:div w:id="1442844681">
      <w:bodyDiv w:val="1"/>
      <w:marLeft w:val="0"/>
      <w:marRight w:val="0"/>
      <w:marTop w:val="0"/>
      <w:marBottom w:val="0"/>
      <w:divBdr>
        <w:top w:val="none" w:sz="0" w:space="0" w:color="auto"/>
        <w:left w:val="none" w:sz="0" w:space="0" w:color="auto"/>
        <w:bottom w:val="none" w:sz="0" w:space="0" w:color="auto"/>
        <w:right w:val="none" w:sz="0" w:space="0" w:color="auto"/>
      </w:divBdr>
    </w:div>
    <w:div w:id="1453667477">
      <w:bodyDiv w:val="1"/>
      <w:marLeft w:val="0"/>
      <w:marRight w:val="0"/>
      <w:marTop w:val="0"/>
      <w:marBottom w:val="0"/>
      <w:divBdr>
        <w:top w:val="none" w:sz="0" w:space="0" w:color="auto"/>
        <w:left w:val="none" w:sz="0" w:space="0" w:color="auto"/>
        <w:bottom w:val="none" w:sz="0" w:space="0" w:color="auto"/>
        <w:right w:val="none" w:sz="0" w:space="0" w:color="auto"/>
      </w:divBdr>
    </w:div>
    <w:div w:id="1488590180">
      <w:bodyDiv w:val="1"/>
      <w:marLeft w:val="0"/>
      <w:marRight w:val="0"/>
      <w:marTop w:val="0"/>
      <w:marBottom w:val="0"/>
      <w:divBdr>
        <w:top w:val="none" w:sz="0" w:space="0" w:color="auto"/>
        <w:left w:val="none" w:sz="0" w:space="0" w:color="auto"/>
        <w:bottom w:val="none" w:sz="0" w:space="0" w:color="auto"/>
        <w:right w:val="none" w:sz="0" w:space="0" w:color="auto"/>
      </w:divBdr>
    </w:div>
    <w:div w:id="1513572644">
      <w:bodyDiv w:val="1"/>
      <w:marLeft w:val="0"/>
      <w:marRight w:val="0"/>
      <w:marTop w:val="0"/>
      <w:marBottom w:val="0"/>
      <w:divBdr>
        <w:top w:val="none" w:sz="0" w:space="0" w:color="auto"/>
        <w:left w:val="none" w:sz="0" w:space="0" w:color="auto"/>
        <w:bottom w:val="none" w:sz="0" w:space="0" w:color="auto"/>
        <w:right w:val="none" w:sz="0" w:space="0" w:color="auto"/>
      </w:divBdr>
    </w:div>
    <w:div w:id="1624580646">
      <w:bodyDiv w:val="1"/>
      <w:marLeft w:val="0"/>
      <w:marRight w:val="0"/>
      <w:marTop w:val="0"/>
      <w:marBottom w:val="0"/>
      <w:divBdr>
        <w:top w:val="none" w:sz="0" w:space="0" w:color="auto"/>
        <w:left w:val="none" w:sz="0" w:space="0" w:color="auto"/>
        <w:bottom w:val="none" w:sz="0" w:space="0" w:color="auto"/>
        <w:right w:val="none" w:sz="0" w:space="0" w:color="auto"/>
      </w:divBdr>
    </w:div>
    <w:div w:id="1642150478">
      <w:bodyDiv w:val="1"/>
      <w:marLeft w:val="0"/>
      <w:marRight w:val="0"/>
      <w:marTop w:val="0"/>
      <w:marBottom w:val="0"/>
      <w:divBdr>
        <w:top w:val="none" w:sz="0" w:space="0" w:color="auto"/>
        <w:left w:val="none" w:sz="0" w:space="0" w:color="auto"/>
        <w:bottom w:val="none" w:sz="0" w:space="0" w:color="auto"/>
        <w:right w:val="none" w:sz="0" w:space="0" w:color="auto"/>
      </w:divBdr>
    </w:div>
    <w:div w:id="1647004520">
      <w:bodyDiv w:val="1"/>
      <w:marLeft w:val="0"/>
      <w:marRight w:val="0"/>
      <w:marTop w:val="0"/>
      <w:marBottom w:val="0"/>
      <w:divBdr>
        <w:top w:val="none" w:sz="0" w:space="0" w:color="auto"/>
        <w:left w:val="none" w:sz="0" w:space="0" w:color="auto"/>
        <w:bottom w:val="none" w:sz="0" w:space="0" w:color="auto"/>
        <w:right w:val="none" w:sz="0" w:space="0" w:color="auto"/>
      </w:divBdr>
    </w:div>
    <w:div w:id="1671103306">
      <w:bodyDiv w:val="1"/>
      <w:marLeft w:val="0"/>
      <w:marRight w:val="0"/>
      <w:marTop w:val="0"/>
      <w:marBottom w:val="0"/>
      <w:divBdr>
        <w:top w:val="none" w:sz="0" w:space="0" w:color="auto"/>
        <w:left w:val="none" w:sz="0" w:space="0" w:color="auto"/>
        <w:bottom w:val="none" w:sz="0" w:space="0" w:color="auto"/>
        <w:right w:val="none" w:sz="0" w:space="0" w:color="auto"/>
      </w:divBdr>
    </w:div>
    <w:div w:id="1729185735">
      <w:bodyDiv w:val="1"/>
      <w:marLeft w:val="0"/>
      <w:marRight w:val="0"/>
      <w:marTop w:val="0"/>
      <w:marBottom w:val="0"/>
      <w:divBdr>
        <w:top w:val="none" w:sz="0" w:space="0" w:color="auto"/>
        <w:left w:val="none" w:sz="0" w:space="0" w:color="auto"/>
        <w:bottom w:val="none" w:sz="0" w:space="0" w:color="auto"/>
        <w:right w:val="none" w:sz="0" w:space="0" w:color="auto"/>
      </w:divBdr>
    </w:div>
    <w:div w:id="1761439280">
      <w:bodyDiv w:val="1"/>
      <w:marLeft w:val="0"/>
      <w:marRight w:val="0"/>
      <w:marTop w:val="0"/>
      <w:marBottom w:val="0"/>
      <w:divBdr>
        <w:top w:val="none" w:sz="0" w:space="0" w:color="auto"/>
        <w:left w:val="none" w:sz="0" w:space="0" w:color="auto"/>
        <w:bottom w:val="none" w:sz="0" w:space="0" w:color="auto"/>
        <w:right w:val="none" w:sz="0" w:space="0" w:color="auto"/>
      </w:divBdr>
    </w:div>
    <w:div w:id="1862930887">
      <w:bodyDiv w:val="1"/>
      <w:marLeft w:val="0"/>
      <w:marRight w:val="0"/>
      <w:marTop w:val="0"/>
      <w:marBottom w:val="0"/>
      <w:divBdr>
        <w:top w:val="none" w:sz="0" w:space="0" w:color="auto"/>
        <w:left w:val="none" w:sz="0" w:space="0" w:color="auto"/>
        <w:bottom w:val="none" w:sz="0" w:space="0" w:color="auto"/>
        <w:right w:val="none" w:sz="0" w:space="0" w:color="auto"/>
      </w:divBdr>
    </w:div>
    <w:div w:id="1864902775">
      <w:bodyDiv w:val="1"/>
      <w:marLeft w:val="0"/>
      <w:marRight w:val="0"/>
      <w:marTop w:val="0"/>
      <w:marBottom w:val="0"/>
      <w:divBdr>
        <w:top w:val="none" w:sz="0" w:space="0" w:color="auto"/>
        <w:left w:val="none" w:sz="0" w:space="0" w:color="auto"/>
        <w:bottom w:val="none" w:sz="0" w:space="0" w:color="auto"/>
        <w:right w:val="none" w:sz="0" w:space="0" w:color="auto"/>
      </w:divBdr>
    </w:div>
    <w:div w:id="1886285805">
      <w:bodyDiv w:val="1"/>
      <w:marLeft w:val="0"/>
      <w:marRight w:val="0"/>
      <w:marTop w:val="0"/>
      <w:marBottom w:val="0"/>
      <w:divBdr>
        <w:top w:val="none" w:sz="0" w:space="0" w:color="auto"/>
        <w:left w:val="none" w:sz="0" w:space="0" w:color="auto"/>
        <w:bottom w:val="none" w:sz="0" w:space="0" w:color="auto"/>
        <w:right w:val="none" w:sz="0" w:space="0" w:color="auto"/>
      </w:divBdr>
    </w:div>
    <w:div w:id="1888451489">
      <w:bodyDiv w:val="1"/>
      <w:marLeft w:val="0"/>
      <w:marRight w:val="0"/>
      <w:marTop w:val="0"/>
      <w:marBottom w:val="0"/>
      <w:divBdr>
        <w:top w:val="none" w:sz="0" w:space="0" w:color="auto"/>
        <w:left w:val="none" w:sz="0" w:space="0" w:color="auto"/>
        <w:bottom w:val="none" w:sz="0" w:space="0" w:color="auto"/>
        <w:right w:val="none" w:sz="0" w:space="0" w:color="auto"/>
      </w:divBdr>
    </w:div>
    <w:div w:id="2025400818">
      <w:bodyDiv w:val="1"/>
      <w:marLeft w:val="0"/>
      <w:marRight w:val="0"/>
      <w:marTop w:val="0"/>
      <w:marBottom w:val="0"/>
      <w:divBdr>
        <w:top w:val="none" w:sz="0" w:space="0" w:color="auto"/>
        <w:left w:val="none" w:sz="0" w:space="0" w:color="auto"/>
        <w:bottom w:val="none" w:sz="0" w:space="0" w:color="auto"/>
        <w:right w:val="none" w:sz="0" w:space="0" w:color="auto"/>
      </w:divBdr>
    </w:div>
    <w:div w:id="2052729007">
      <w:bodyDiv w:val="1"/>
      <w:marLeft w:val="0"/>
      <w:marRight w:val="0"/>
      <w:marTop w:val="0"/>
      <w:marBottom w:val="0"/>
      <w:divBdr>
        <w:top w:val="none" w:sz="0" w:space="0" w:color="auto"/>
        <w:left w:val="none" w:sz="0" w:space="0" w:color="auto"/>
        <w:bottom w:val="none" w:sz="0" w:space="0" w:color="auto"/>
        <w:right w:val="none" w:sz="0" w:space="0" w:color="auto"/>
      </w:divBdr>
    </w:div>
    <w:div w:id="2065442926">
      <w:bodyDiv w:val="1"/>
      <w:marLeft w:val="0"/>
      <w:marRight w:val="0"/>
      <w:marTop w:val="0"/>
      <w:marBottom w:val="0"/>
      <w:divBdr>
        <w:top w:val="none" w:sz="0" w:space="0" w:color="auto"/>
        <w:left w:val="none" w:sz="0" w:space="0" w:color="auto"/>
        <w:bottom w:val="none" w:sz="0" w:space="0" w:color="auto"/>
        <w:right w:val="none" w:sz="0" w:space="0" w:color="auto"/>
      </w:divBdr>
    </w:div>
    <w:div w:id="2067337049">
      <w:bodyDiv w:val="1"/>
      <w:marLeft w:val="0"/>
      <w:marRight w:val="0"/>
      <w:marTop w:val="0"/>
      <w:marBottom w:val="0"/>
      <w:divBdr>
        <w:top w:val="none" w:sz="0" w:space="0" w:color="auto"/>
        <w:left w:val="none" w:sz="0" w:space="0" w:color="auto"/>
        <w:bottom w:val="none" w:sz="0" w:space="0" w:color="auto"/>
        <w:right w:val="none" w:sz="0" w:space="0" w:color="auto"/>
      </w:divBdr>
    </w:div>
    <w:div w:id="2090423750">
      <w:bodyDiv w:val="1"/>
      <w:marLeft w:val="0"/>
      <w:marRight w:val="0"/>
      <w:marTop w:val="0"/>
      <w:marBottom w:val="0"/>
      <w:divBdr>
        <w:top w:val="none" w:sz="0" w:space="0" w:color="auto"/>
        <w:left w:val="none" w:sz="0" w:space="0" w:color="auto"/>
        <w:bottom w:val="none" w:sz="0" w:space="0" w:color="auto"/>
        <w:right w:val="none" w:sz="0" w:space="0" w:color="auto"/>
      </w:divBdr>
    </w:div>
    <w:div w:id="2116363887">
      <w:bodyDiv w:val="1"/>
      <w:marLeft w:val="0"/>
      <w:marRight w:val="0"/>
      <w:marTop w:val="0"/>
      <w:marBottom w:val="0"/>
      <w:divBdr>
        <w:top w:val="none" w:sz="0" w:space="0" w:color="auto"/>
        <w:left w:val="none" w:sz="0" w:space="0" w:color="auto"/>
        <w:bottom w:val="none" w:sz="0" w:space="0" w:color="auto"/>
        <w:right w:val="none" w:sz="0" w:space="0" w:color="auto"/>
      </w:divBdr>
    </w:div>
    <w:div w:id="2120446465">
      <w:bodyDiv w:val="1"/>
      <w:marLeft w:val="0"/>
      <w:marRight w:val="0"/>
      <w:marTop w:val="0"/>
      <w:marBottom w:val="0"/>
      <w:divBdr>
        <w:top w:val="none" w:sz="0" w:space="0" w:color="auto"/>
        <w:left w:val="none" w:sz="0" w:space="0" w:color="auto"/>
        <w:bottom w:val="none" w:sz="0" w:space="0" w:color="auto"/>
        <w:right w:val="none" w:sz="0" w:space="0" w:color="auto"/>
      </w:divBdr>
    </w:div>
    <w:div w:id="212233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91C6-0A21-4683-98D0-7A8D1E6A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个人用户</dc:creator>
  <cp:lastModifiedBy>萌 叶</cp:lastModifiedBy>
  <cp:revision>65</cp:revision>
  <cp:lastPrinted>2025-01-15T08:22:00Z</cp:lastPrinted>
  <dcterms:created xsi:type="dcterms:W3CDTF">2025-10-11T08:27:00Z</dcterms:created>
  <dcterms:modified xsi:type="dcterms:W3CDTF">2025-10-15T07:54:00Z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2024-05-07T16:15:49Z</vt:filetime>
  </property>
</Properties>
</file>